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6182" w:rsidRPr="00F708EC" w:rsidRDefault="00476182" w:rsidP="00476182">
      <w:pPr>
        <w:pStyle w:val="BodyText"/>
        <w:spacing w:before="120" w:after="0"/>
        <w:jc w:val="right"/>
        <w:rPr>
          <w:rFonts w:ascii="Times New Roman" w:hAnsi="Times New Roman"/>
          <w:b/>
          <w:caps/>
          <w:spacing w:val="-8"/>
          <w:sz w:val="24"/>
          <w:szCs w:val="24"/>
          <w:lang w:val="bg-BG"/>
        </w:rPr>
      </w:pPr>
      <w:r w:rsidRPr="00F708EC">
        <w:rPr>
          <w:rFonts w:ascii="Times New Roman" w:hAnsi="Times New Roman"/>
          <w:b/>
          <w:caps/>
          <w:sz w:val="24"/>
          <w:szCs w:val="24"/>
          <w:lang w:val="bg-BG"/>
        </w:rPr>
        <w:t xml:space="preserve">Приложение № </w:t>
      </w:r>
      <w:r w:rsidR="006278D7">
        <w:rPr>
          <w:rFonts w:ascii="Times New Roman" w:hAnsi="Times New Roman"/>
          <w:b/>
          <w:caps/>
          <w:sz w:val="24"/>
          <w:szCs w:val="24"/>
          <w:lang w:val="bg-BG"/>
        </w:rPr>
        <w:t>9</w:t>
      </w:r>
    </w:p>
    <w:p w:rsidR="00476182" w:rsidRPr="00F708EC" w:rsidRDefault="00476182" w:rsidP="00476182">
      <w:pPr>
        <w:pStyle w:val="BodyText"/>
        <w:spacing w:before="120" w:after="0"/>
        <w:jc w:val="center"/>
        <w:rPr>
          <w:rFonts w:ascii="Times New Roman" w:hAnsi="Times New Roman"/>
          <w:b/>
          <w:caps/>
          <w:spacing w:val="-8"/>
          <w:sz w:val="24"/>
          <w:szCs w:val="24"/>
          <w:lang w:val="bg-BG"/>
        </w:rPr>
      </w:pPr>
      <w:r w:rsidRPr="00F708EC">
        <w:rPr>
          <w:rFonts w:ascii="Times New Roman" w:hAnsi="Times New Roman"/>
          <w:b/>
          <w:caps/>
          <w:spacing w:val="-8"/>
          <w:sz w:val="24"/>
          <w:szCs w:val="24"/>
          <w:lang w:val="bg-BG"/>
        </w:rPr>
        <w:t>Указания за оценка на съответствиеТО на предложенията ЗА ИЗПЪЛНЕНИЕ НА ИНВЕСТИЦИИ с правилата за държавни помощи</w:t>
      </w:r>
    </w:p>
    <w:p w:rsidR="00476182" w:rsidRPr="00F708EC" w:rsidRDefault="00476182" w:rsidP="00476182">
      <w:pPr>
        <w:snapToGrid w:val="0"/>
        <w:spacing w:after="120" w:line="240" w:lineRule="auto"/>
        <w:jc w:val="center"/>
        <w:rPr>
          <w:rFonts w:ascii="Times New Roman" w:hAnsi="Times New Roman"/>
          <w:b/>
          <w:sz w:val="24"/>
          <w:szCs w:val="24"/>
          <w:lang w:val="bg-BG"/>
        </w:rPr>
      </w:pPr>
    </w:p>
    <w:p w:rsidR="00476182" w:rsidRPr="00F708EC" w:rsidRDefault="00476182" w:rsidP="00476182">
      <w:pPr>
        <w:widowControl w:val="0"/>
        <w:autoSpaceDE w:val="0"/>
        <w:autoSpaceDN w:val="0"/>
        <w:adjustRightInd w:val="0"/>
        <w:snapToGrid w:val="0"/>
        <w:spacing w:after="120" w:line="240" w:lineRule="auto"/>
        <w:ind w:left="4"/>
        <w:rPr>
          <w:rFonts w:ascii="Times New Roman" w:hAnsi="Times New Roman"/>
          <w:b/>
          <w:bCs/>
          <w:sz w:val="24"/>
          <w:szCs w:val="24"/>
          <w:lang w:val="bg-BG"/>
        </w:rPr>
      </w:pPr>
    </w:p>
    <w:p w:rsidR="00476182" w:rsidRPr="00F708EC" w:rsidRDefault="00476182" w:rsidP="00476182">
      <w:pPr>
        <w:pStyle w:val="ListParagraph"/>
        <w:numPr>
          <w:ilvl w:val="0"/>
          <w:numId w:val="1"/>
        </w:numPr>
        <w:rPr>
          <w:rFonts w:eastAsia="Calibri"/>
          <w:b/>
          <w:bCs/>
          <w:lang w:val="bg-BG" w:eastAsia="en-US"/>
        </w:rPr>
      </w:pPr>
      <w:r w:rsidRPr="00F708EC">
        <w:rPr>
          <w:rFonts w:eastAsia="Calibri"/>
          <w:b/>
          <w:bCs/>
          <w:lang w:val="bg-BG" w:eastAsia="en-US"/>
        </w:rPr>
        <w:t>Цел на указанията</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Cs/>
          <w:sz w:val="24"/>
          <w:szCs w:val="24"/>
          <w:lang w:val="bg-BG"/>
        </w:rPr>
        <w:t>Настоящите указания са предназначени за кандидатите по процедурата и експертите, оценяващи предложенията за предоставяне на средства по инвестиция С11.I6 „Развитие на културните и творчески сектори“ от Компонент 11 „Социално включване“ на Плана за възстановяване и устойчивост (НПВУ) на Република България, BG-RRP-11.0</w:t>
      </w:r>
      <w:r w:rsidRPr="008716C0">
        <w:rPr>
          <w:rFonts w:ascii="Times New Roman" w:hAnsi="Times New Roman"/>
          <w:bCs/>
          <w:sz w:val="24"/>
          <w:szCs w:val="24"/>
          <w:lang w:val="ru-RU"/>
        </w:rPr>
        <w:t>.21</w:t>
      </w:r>
      <w:r w:rsidRPr="00F708EC">
        <w:rPr>
          <w:rFonts w:ascii="Times New Roman" w:hAnsi="Times New Roman"/>
          <w:bCs/>
          <w:sz w:val="24"/>
          <w:szCs w:val="24"/>
          <w:lang w:val="bg-BG"/>
        </w:rPr>
        <w:t>Схема за безвъзмездна помощ „Ново поколение местни политики за култура за големи общини“. Указанията имат за цел да обяснят как се извършва оценката на предложенията по отношение на критерий „Предложението е в съответствие с изискванията на приложимия режим за държавна помощ“.</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Cs/>
          <w:sz w:val="24"/>
          <w:szCs w:val="24"/>
          <w:lang w:val="bg-BG"/>
        </w:rPr>
        <w:t xml:space="preserve">Възможните хипотези за наличие на държавна помощ и съответно, приложимия режим на държавна помощ, са описани в раздел „11. Приложим Режим на минимални/държавни помощи“ от Насоките за кандидатстване по </w:t>
      </w:r>
      <w:r w:rsidRPr="00F708EC">
        <w:rPr>
          <w:rFonts w:ascii="Times New Roman" w:hAnsi="Times New Roman"/>
          <w:sz w:val="24"/>
          <w:szCs w:val="24"/>
          <w:lang w:val="bg-BG"/>
        </w:rPr>
        <w:t>BG-RRP-11.0</w:t>
      </w:r>
      <w:r w:rsidRPr="008716C0">
        <w:rPr>
          <w:rFonts w:ascii="Times New Roman" w:hAnsi="Times New Roman"/>
          <w:sz w:val="24"/>
          <w:szCs w:val="24"/>
          <w:lang w:val="ru-RU"/>
        </w:rPr>
        <w:t>21</w:t>
      </w:r>
      <w:r w:rsidRPr="00F708EC">
        <w:rPr>
          <w:rFonts w:ascii="Times New Roman" w:hAnsi="Times New Roman"/>
          <w:sz w:val="24"/>
          <w:szCs w:val="24"/>
          <w:lang w:val="bg-BG"/>
        </w:rPr>
        <w:t>. Схема за безвъзмездна помощ „Ново поколение местни политики за култура за големи общини“</w:t>
      </w:r>
      <w:r w:rsidRPr="00F708EC">
        <w:rPr>
          <w:rFonts w:ascii="Times New Roman" w:hAnsi="Times New Roman"/>
          <w:bCs/>
          <w:sz w:val="24"/>
          <w:szCs w:val="24"/>
          <w:lang w:val="bg-BG"/>
        </w:rPr>
        <w:t>. Кандидатите следва подробно да са се запознали с този раздел от насоките.</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Cs/>
          <w:sz w:val="24"/>
          <w:szCs w:val="24"/>
          <w:lang w:val="bg-BG"/>
        </w:rPr>
        <w:t>Съгласно Националният план за възстановяване и устойчивост, Инвестиция 6: Развитие на културните и творчески сектори е определена в режим „</w:t>
      </w:r>
      <w:r w:rsidRPr="00F708EC">
        <w:rPr>
          <w:rFonts w:ascii="Times New Roman" w:hAnsi="Times New Roman"/>
          <w:bCs/>
          <w:i/>
          <w:iCs/>
          <w:sz w:val="24"/>
          <w:szCs w:val="24"/>
          <w:lang w:val="bg-BG"/>
        </w:rPr>
        <w:t>de minimis</w:t>
      </w:r>
      <w:r w:rsidRPr="00F708EC">
        <w:rPr>
          <w:rFonts w:ascii="Times New Roman" w:hAnsi="Times New Roman"/>
          <w:bCs/>
          <w:sz w:val="24"/>
          <w:szCs w:val="24"/>
          <w:lang w:val="bg-BG"/>
        </w:rPr>
        <w:t>”. Но за бенефициентите, които са бюджетни организации, при които изпълняваните в рамките на финансирането икономически дейности и упражняването на публична власт са „неделими по своя характер“, т.е. когато икономическата дейност е необходима за упражняването на публичната власт, дейностите като цяло няма да се считат за икономически по своя характер и съответно тяхното финансиране няма да представлява държавна помощ.</w:t>
      </w:r>
    </w:p>
    <w:p w:rsidR="00476182" w:rsidRPr="00F708EC" w:rsidRDefault="00476182" w:rsidP="00476182">
      <w:pPr>
        <w:pStyle w:val="ListParagraph"/>
        <w:widowControl w:val="0"/>
        <w:numPr>
          <w:ilvl w:val="0"/>
          <w:numId w:val="1"/>
        </w:numPr>
        <w:autoSpaceDE w:val="0"/>
        <w:autoSpaceDN w:val="0"/>
        <w:adjustRightInd w:val="0"/>
        <w:snapToGrid w:val="0"/>
        <w:spacing w:after="120" w:line="276" w:lineRule="auto"/>
        <w:jc w:val="both"/>
        <w:rPr>
          <w:b/>
          <w:bCs/>
          <w:lang w:val="bg-BG"/>
        </w:rPr>
      </w:pPr>
      <w:r w:rsidRPr="00F708EC">
        <w:rPr>
          <w:b/>
          <w:bCs/>
          <w:lang w:val="bg-BG"/>
        </w:rPr>
        <w:t>Общи определения и хипотези на допустимост на държавна помощ</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
          <w:bCs/>
          <w:sz w:val="24"/>
          <w:szCs w:val="24"/>
          <w:lang w:val="bg-BG"/>
        </w:rPr>
        <w:t>„Държавна помощ“</w:t>
      </w:r>
      <w:r w:rsidRPr="00F708EC">
        <w:rPr>
          <w:rFonts w:ascii="Times New Roman" w:hAnsi="Times New Roman"/>
          <w:bCs/>
          <w:sz w:val="24"/>
          <w:szCs w:val="24"/>
          <w:lang w:val="bg-BG"/>
        </w:rPr>
        <w:t xml:space="preserve"> е 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
          <w:bCs/>
          <w:sz w:val="24"/>
          <w:szCs w:val="24"/>
          <w:lang w:val="bg-BG"/>
        </w:rPr>
        <w:t>„Предприятие“</w:t>
      </w:r>
      <w:r w:rsidRPr="00F708EC">
        <w:rPr>
          <w:rFonts w:ascii="Times New Roman" w:hAnsi="Times New Roman"/>
          <w:bCs/>
          <w:sz w:val="24"/>
          <w:szCs w:val="24"/>
          <w:lang w:val="bg-BG"/>
        </w:rPr>
        <w:t xml:space="preserve"> по смисъла на чл. 107 от Договора за функциониране на ЕС е всяко лице, което осъществява икономическа дейност без значение на неговата правноорганизационна форма, статут и начин на финансиране, независимо от това дали същото формира и разпределя печалба (чл. 20, ал. 2 от Закона за държавните помощи).</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
          <w:bCs/>
          <w:sz w:val="24"/>
          <w:szCs w:val="24"/>
          <w:lang w:val="bg-BG"/>
        </w:rPr>
        <w:t>„Икономическа дейност“</w:t>
      </w:r>
      <w:r w:rsidRPr="00F708EC">
        <w:rPr>
          <w:rFonts w:ascii="Times New Roman" w:hAnsi="Times New Roman"/>
          <w:bCs/>
          <w:sz w:val="24"/>
          <w:szCs w:val="24"/>
          <w:lang w:val="bg-BG"/>
        </w:rPr>
        <w:t xml:space="preserve"> е всяка дейност по предлагане на стоки и услуги на пазара, както и всяка дейност, резултатите от която са предназначени за размяна на пазара, независимо дали от това се формира и разпределя печалба или друг доход. За </w:t>
      </w:r>
      <w:r w:rsidRPr="00F708EC">
        <w:rPr>
          <w:rFonts w:ascii="Times New Roman" w:hAnsi="Times New Roman"/>
          <w:bCs/>
          <w:sz w:val="24"/>
          <w:szCs w:val="24"/>
          <w:lang w:val="bg-BG"/>
        </w:rPr>
        <w:lastRenderedPageBreak/>
        <w:t>икономическа дейност се смята и предоставянето за ползване на материално и нематериално имущество и права. Правният статут на дадено лице съгласно националното право или генерирането на печалба е без значение - публичните органи, спортните клубове, асоциациите и неправителствените организации също могат да бъдат определени като предприятия в зависимост от това каква дейност извършват и има ли отворен пазар за тази дейност.</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
          <w:bCs/>
          <w:sz w:val="24"/>
          <w:szCs w:val="24"/>
          <w:lang w:val="bg-BG"/>
        </w:rPr>
        <w:t>„Администратор на помощ“</w:t>
      </w:r>
      <w:r w:rsidRPr="00F708EC">
        <w:rPr>
          <w:rFonts w:ascii="Times New Roman" w:hAnsi="Times New Roman"/>
          <w:bCs/>
          <w:sz w:val="24"/>
          <w:szCs w:val="24"/>
          <w:lang w:val="bg-BG"/>
        </w:rPr>
        <w:t xml:space="preserve"> съгласно чл. 9 от Закона за държавните помощи (ЗДП) е лице, което предоставя или управлява, включително разработва държавна помощ или минимална помощ, освен когато в закон е предвидено друго. Когато държавната помощ или минималната помощ се предоставя от орган, управляващ оперативна програма, или от орган - програмен оператор на програма, </w:t>
      </w:r>
      <w:r w:rsidRPr="008716C0">
        <w:rPr>
          <w:rFonts w:ascii="Times New Roman" w:hAnsi="Times New Roman"/>
          <w:b/>
          <w:sz w:val="24"/>
          <w:szCs w:val="24"/>
          <w:u w:val="single"/>
          <w:lang w:val="bg-BG"/>
        </w:rPr>
        <w:t>администратор на помощта е органът, отговорен за управлението и изпълнението на инвестицията</w:t>
      </w:r>
      <w:r w:rsidRPr="00F708EC">
        <w:rPr>
          <w:rFonts w:ascii="Times New Roman" w:hAnsi="Times New Roman"/>
          <w:bCs/>
          <w:sz w:val="24"/>
          <w:szCs w:val="24"/>
          <w:lang w:val="bg-BG"/>
        </w:rPr>
        <w:t xml:space="preserve">. В рамките на процедурата администратор на помощта по отношение на общините е Национален фонд „Култура“ като Структура за наблюдение и докладване. </w:t>
      </w:r>
    </w:p>
    <w:p w:rsidR="00476182" w:rsidRPr="00D2064D" w:rsidRDefault="00476182" w:rsidP="00476182">
      <w:pPr>
        <w:widowControl w:val="0"/>
        <w:autoSpaceDE w:val="0"/>
        <w:autoSpaceDN w:val="0"/>
        <w:adjustRightInd w:val="0"/>
        <w:snapToGrid w:val="0"/>
        <w:spacing w:after="120"/>
        <w:ind w:left="4"/>
        <w:jc w:val="both"/>
        <w:rPr>
          <w:rFonts w:ascii="Times New Roman" w:hAnsi="Times New Roman"/>
          <w:b/>
          <w:sz w:val="24"/>
          <w:szCs w:val="24"/>
          <w:u w:val="single"/>
          <w:lang w:val="bg-BG"/>
        </w:rPr>
      </w:pPr>
      <w:r w:rsidRPr="00F708EC">
        <w:rPr>
          <w:rFonts w:ascii="Times New Roman" w:hAnsi="Times New Roman"/>
          <w:bCs/>
          <w:sz w:val="24"/>
          <w:szCs w:val="24"/>
          <w:lang w:val="bg-BG"/>
        </w:rPr>
        <w:t>Съгласно чл. 9, ал. 5 от ЗДП администраторът на помощ може да възложи част от функциите си по този закон на публичноправна организация, публичен орган или публично предприятие, което носи отговорност като администратор на помощ за възложените функции и изпълнява свързаните с тях задължения спрямо получателя на помощта, както е в конкретния случай</w:t>
      </w:r>
      <w:r w:rsidRPr="00D2064D">
        <w:rPr>
          <w:rFonts w:ascii="Times New Roman" w:hAnsi="Times New Roman"/>
          <w:b/>
          <w:sz w:val="24"/>
          <w:szCs w:val="24"/>
          <w:u w:val="single"/>
          <w:lang w:val="bg-BG"/>
        </w:rPr>
        <w:t>. В случаите, в които държавната помощ се предоставя на съответния получател</w:t>
      </w:r>
      <w:r w:rsidRPr="00D2064D">
        <w:rPr>
          <w:rFonts w:ascii="Times New Roman" w:hAnsi="Times New Roman"/>
          <w:b/>
          <w:sz w:val="24"/>
          <w:szCs w:val="24"/>
          <w:u w:val="single"/>
          <w:lang w:val="ru-RU"/>
        </w:rPr>
        <w:t xml:space="preserve"> – </w:t>
      </w:r>
      <w:r w:rsidRPr="00D2064D">
        <w:rPr>
          <w:rFonts w:ascii="Times New Roman" w:hAnsi="Times New Roman"/>
          <w:b/>
          <w:sz w:val="24"/>
          <w:szCs w:val="24"/>
          <w:u w:val="single"/>
          <w:lang w:val="bg-BG"/>
        </w:rPr>
        <w:t xml:space="preserve">културен оператор от общините бенефициенти, същите ще изпълняват отговорностите на администратори на основание чл. 9, ал. 5 от ЗДП. </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bCs/>
          <w:sz w:val="24"/>
          <w:szCs w:val="24"/>
          <w:lang w:val="bg-BG"/>
        </w:rPr>
        <w:t xml:space="preserve">В рамките на процедурата се допускат две хипотези за предоставяне на помощ: </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bCs/>
          <w:sz w:val="24"/>
          <w:szCs w:val="24"/>
          <w:lang w:val="bg-BG"/>
        </w:rPr>
      </w:pPr>
      <w:r w:rsidRPr="00F708EC">
        <w:rPr>
          <w:rFonts w:ascii="Times New Roman" w:hAnsi="Times New Roman"/>
          <w:b/>
          <w:bCs/>
          <w:sz w:val="24"/>
          <w:szCs w:val="24"/>
          <w:lang w:val="bg-BG"/>
        </w:rPr>
        <w:t>Финансирането представлява минимална помощ</w:t>
      </w:r>
      <w:r w:rsidRPr="00F708EC">
        <w:rPr>
          <w:rFonts w:ascii="Times New Roman" w:hAnsi="Times New Roman"/>
          <w:bCs/>
          <w:sz w:val="24"/>
          <w:szCs w:val="24"/>
          <w:lang w:val="bg-BG"/>
        </w:rPr>
        <w:t xml:space="preserve"> – т.е. предоставя се финансиране в размер под определен минимален праг за даден период от време, за който се приема, че не представлява държавна помощ – правилото de minimis. </w:t>
      </w:r>
      <w:r w:rsidRPr="00F708EC">
        <w:rPr>
          <w:rFonts w:ascii="Times New Roman" w:hAnsi="Times New Roman"/>
          <w:b/>
          <w:sz w:val="24"/>
          <w:szCs w:val="24"/>
          <w:lang w:val="bg-BG"/>
        </w:rPr>
        <w:t xml:space="preserve">Регламент (ЕС) № 2023/2831 </w:t>
      </w:r>
      <w:r w:rsidRPr="00F708EC">
        <w:rPr>
          <w:rFonts w:ascii="Times New Roman" w:hAnsi="Times New Roman"/>
          <w:b/>
          <w:bCs/>
          <w:sz w:val="24"/>
          <w:szCs w:val="24"/>
          <w:lang w:val="bg-BG"/>
        </w:rPr>
        <w:t>на Комисията от 13 декември 2023 г. относно прилагането на членове 107 и 108 от Договора за функционирането на Европейския съюз към помощта</w:t>
      </w:r>
      <w:r w:rsidRPr="00F708EC">
        <w:rPr>
          <w:rFonts w:ascii="Times New Roman" w:hAnsi="Times New Roman"/>
          <w:sz w:val="24"/>
          <w:szCs w:val="24"/>
          <w:lang w:val="bg-BG"/>
        </w:rPr>
        <w:t xml:space="preserve"> „de minimis”</w:t>
      </w:r>
      <w:r w:rsidRPr="00F708EC">
        <w:rPr>
          <w:rFonts w:ascii="Times New Roman" w:hAnsi="Times New Roman"/>
          <w:bCs/>
          <w:sz w:val="24"/>
          <w:szCs w:val="24"/>
          <w:lang w:val="bg-BG"/>
        </w:rPr>
        <w:t xml:space="preserve">, максималната стойност на помощта, предоставена за период от 3 години на едно и също предприятие (съгласно чл. 3, пар. 2 от Регламента), не може да надвишава 300 хил. Евро. </w:t>
      </w:r>
    </w:p>
    <w:p w:rsidR="00476182" w:rsidRPr="00F708EC" w:rsidRDefault="00476182" w:rsidP="00476182">
      <w:pPr>
        <w:widowControl w:val="0"/>
        <w:autoSpaceDE w:val="0"/>
        <w:autoSpaceDN w:val="0"/>
        <w:adjustRightInd w:val="0"/>
        <w:snapToGrid w:val="0"/>
        <w:spacing w:after="120"/>
        <w:ind w:left="720"/>
        <w:jc w:val="both"/>
        <w:rPr>
          <w:rFonts w:ascii="Times New Roman" w:hAnsi="Times New Roman"/>
          <w:sz w:val="24"/>
          <w:szCs w:val="24"/>
          <w:lang w:val="bg-BG"/>
        </w:rPr>
      </w:pPr>
      <w:r w:rsidRPr="00F708EC">
        <w:rPr>
          <w:rFonts w:ascii="Times New Roman" w:hAnsi="Times New Roman"/>
          <w:sz w:val="24"/>
          <w:szCs w:val="24"/>
          <w:lang w:val="bg-BG"/>
        </w:rPr>
        <w:t xml:space="preserve">В рамките на настоящата процедура средствата предоставени на </w:t>
      </w:r>
      <w:r>
        <w:rPr>
          <w:rFonts w:ascii="Times New Roman" w:hAnsi="Times New Roman"/>
          <w:sz w:val="24"/>
          <w:szCs w:val="24"/>
          <w:lang w:val="bg-BG"/>
        </w:rPr>
        <w:t xml:space="preserve">получателите - </w:t>
      </w:r>
      <w:r w:rsidRPr="00F708EC">
        <w:rPr>
          <w:rFonts w:ascii="Times New Roman" w:hAnsi="Times New Roman"/>
          <w:sz w:val="24"/>
          <w:szCs w:val="24"/>
          <w:lang w:val="bg-BG"/>
        </w:rPr>
        <w:t xml:space="preserve">културни оператори са в режим „de minimis“. </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b/>
          <w:bCs/>
          <w:sz w:val="24"/>
          <w:szCs w:val="24"/>
          <w:lang w:val="bg-BG"/>
        </w:rPr>
        <w:t xml:space="preserve">Финансирането представлява не </w:t>
      </w:r>
      <w:r w:rsidRPr="00F708EC">
        <w:rPr>
          <w:rFonts w:ascii="Times New Roman" w:hAnsi="Times New Roman"/>
          <w:sz w:val="24"/>
          <w:szCs w:val="24"/>
          <w:lang w:val="bg-BG"/>
        </w:rPr>
        <w:t xml:space="preserve">помощ. В рамките на настоящата процедура средствата се предоставят в режим “непомощ” за общинска администрация – краен получател. </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 xml:space="preserve">Съгласно чл. 2, ал. 1 от Закона за местното самоуправление и местната администрация общините са основната административно-териториална единица, в която се осъществява местното самоуправление. Съгласно чл. 17, ал. 1, т. 9 местното самоуправление се изразява в правото и реалната възможност на </w:t>
      </w:r>
      <w:r w:rsidRPr="00F708EC">
        <w:rPr>
          <w:rFonts w:ascii="Times New Roman" w:hAnsi="Times New Roman"/>
          <w:sz w:val="24"/>
          <w:szCs w:val="24"/>
          <w:lang w:val="bg-BG"/>
        </w:rPr>
        <w:lastRenderedPageBreak/>
        <w:t>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 културата.</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 xml:space="preserve">Упражняването на публична власт (местно самоуправление) е дейност, за която не се прилагат правилата за държавните помощи. Съгласно съдебната практика на съда на ЕС, чл. 107 от ДФЕС не се прилага, когато държавата действа при упражняване на публична власт или когато публичните субекти действат в качеството си на публичен орган. Дейностите, които по същество са част от прерогативите на публичната власт и се извършват от държавата, не представляват стопански дейности. </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За всички допустими дейности по процедурата, попадащи извън упражняването на публична власт, които биха могли да представляват стопанска дейност, защото за тях функционира либерализиран пазар, за да се гарантира, че финансирането не представлява държавна помощ, бенефициентът следва да прилага Закона за обществени поръчки, като гарантира, че са проведени състезателни, прозрачни, недискриминационни и безусловни процедури за възлагане, в съответствие с изискванията на т. 89 -т. 96 от Известие на Комисията относно понятието за държавна помощ, посочено в член 107, параграф 1 от Договора за функционирането на Европейския съюз (2016/C 262/01).</w:t>
      </w:r>
    </w:p>
    <w:p w:rsidR="00476182" w:rsidRPr="00F708EC" w:rsidRDefault="00476182" w:rsidP="00476182">
      <w:pPr>
        <w:widowControl w:val="0"/>
        <w:numPr>
          <w:ilvl w:val="0"/>
          <w:numId w:val="3"/>
        </w:numPr>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За съвместими с вътрешния пазар могат да се приемат: помощите за насърчаване на културата и опазване на наследството, доколкото тези помощи не засягат условията на търговия и конкуренция в рамките на Съюза в степен, противоречаща на общия интерес.</w:t>
      </w:r>
    </w:p>
    <w:p w:rsidR="00476182" w:rsidRPr="00F708EC" w:rsidRDefault="00476182" w:rsidP="00476182">
      <w:pPr>
        <w:ind w:left="360"/>
        <w:jc w:val="both"/>
        <w:rPr>
          <w:b/>
          <w:lang w:val="bg-BG"/>
        </w:rPr>
      </w:pPr>
      <w:r w:rsidRPr="00F708EC">
        <w:rPr>
          <w:rFonts w:ascii="Times New Roman" w:hAnsi="Times New Roman"/>
          <w:b/>
          <w:sz w:val="24"/>
          <w:szCs w:val="24"/>
          <w:lang w:val="bg-BG"/>
        </w:rPr>
        <w:t xml:space="preserve"> Недопустими кандидати при избран режим „минимална помощ” (de minimis):</w:t>
      </w:r>
    </w:p>
    <w:p w:rsidR="00476182" w:rsidRPr="00F708EC" w:rsidRDefault="00476182" w:rsidP="00476182">
      <w:pPr>
        <w:pStyle w:val="ListParagraph"/>
        <w:numPr>
          <w:ilvl w:val="0"/>
          <w:numId w:val="3"/>
        </w:numPr>
        <w:spacing w:line="276" w:lineRule="auto"/>
        <w:jc w:val="both"/>
        <w:rPr>
          <w:lang w:val="bg-BG"/>
        </w:rPr>
      </w:pPr>
      <w:r w:rsidRPr="00F708EC">
        <w:rPr>
          <w:b/>
          <w:lang w:val="bg-BG"/>
        </w:rPr>
        <w:t xml:space="preserve">Кандидатите не могат да участват </w:t>
      </w:r>
      <w:r w:rsidRPr="00F708EC">
        <w:rPr>
          <w:lang w:val="bg-BG"/>
        </w:rPr>
        <w:t xml:space="preserve">в процедурата и да получат безвъзмездно финансиране, в случай че попадат в </w:t>
      </w:r>
      <w:r w:rsidRPr="00F708EC">
        <w:rPr>
          <w:b/>
          <w:lang w:val="bg-BG"/>
        </w:rPr>
        <w:t>забранителните режими</w:t>
      </w:r>
      <w:r w:rsidRPr="00F708EC">
        <w:rPr>
          <w:lang w:val="bg-BG"/>
        </w:rPr>
        <w:t xml:space="preserve"> на </w:t>
      </w:r>
      <w:r w:rsidRPr="00F708EC">
        <w:rPr>
          <w:bCs/>
          <w:lang w:val="bg-BG"/>
        </w:rPr>
        <w:t xml:space="preserve">Регламент (ЕС) № 2023/2831 </w:t>
      </w:r>
      <w:r w:rsidRPr="00F708EC">
        <w:rPr>
          <w:lang w:val="bg-BG"/>
        </w:rPr>
        <w:t>и по-конкретно, ако:</w:t>
      </w:r>
    </w:p>
    <w:p w:rsidR="00476182" w:rsidRPr="00F708EC" w:rsidRDefault="00476182" w:rsidP="00476182">
      <w:pPr>
        <w:pStyle w:val="ListParagraph"/>
        <w:numPr>
          <w:ilvl w:val="0"/>
          <w:numId w:val="3"/>
        </w:numPr>
        <w:spacing w:line="276" w:lineRule="auto"/>
        <w:jc w:val="both"/>
        <w:rPr>
          <w:b/>
          <w:lang w:val="bg-BG"/>
        </w:rPr>
      </w:pPr>
      <w:r w:rsidRPr="00F708EC">
        <w:rPr>
          <w:b/>
          <w:lang w:val="bg-BG"/>
        </w:rPr>
        <w:t>А)</w:t>
      </w:r>
      <w:r w:rsidRPr="00F708EC">
        <w:rPr>
          <w:lang w:val="bg-BG"/>
        </w:rPr>
        <w:t xml:space="preserve"> Икономическата </w:t>
      </w:r>
      <w:r w:rsidRPr="00F708EC">
        <w:rPr>
          <w:b/>
          <w:lang w:val="bg-BG"/>
        </w:rPr>
        <w:t>дейност</w:t>
      </w:r>
      <w:r w:rsidRPr="00F708EC">
        <w:rPr>
          <w:lang w:val="bg-BG"/>
        </w:rPr>
        <w:t>,</w:t>
      </w:r>
      <w:r w:rsidRPr="00F708EC">
        <w:rPr>
          <w:b/>
          <w:lang w:val="bg-BG"/>
        </w:rPr>
        <w:t xml:space="preserve"> за която кандидатстват се отнася до</w:t>
      </w:r>
      <w:r w:rsidRPr="00F708EC">
        <w:rPr>
          <w:rStyle w:val="FootnoteReference"/>
          <w:rFonts w:eastAsia="Calibri"/>
          <w:b/>
          <w:lang w:val="bg-BG"/>
        </w:rPr>
        <w:footnoteReference w:id="1"/>
      </w:r>
      <w:r w:rsidRPr="00F708EC">
        <w:rPr>
          <w:b/>
          <w:lang w:val="bg-BG"/>
        </w:rPr>
        <w:t>:</w:t>
      </w:r>
    </w:p>
    <w:p w:rsidR="00476182" w:rsidRPr="00F708EC" w:rsidRDefault="00476182" w:rsidP="00476182">
      <w:pPr>
        <w:pStyle w:val="ListParagraph"/>
        <w:numPr>
          <w:ilvl w:val="0"/>
          <w:numId w:val="3"/>
        </w:numPr>
        <w:spacing w:line="276" w:lineRule="auto"/>
        <w:jc w:val="both"/>
        <w:rPr>
          <w:lang w:val="bg-BG"/>
        </w:rPr>
      </w:pPr>
      <w:r w:rsidRPr="00F708EC">
        <w:rPr>
          <w:lang w:val="bg-BG"/>
        </w:rPr>
        <w:t>• сектора на рибарството и аквакултурите, уредени с Регламент (ЕС) № 1379/2013;</w:t>
      </w:r>
    </w:p>
    <w:p w:rsidR="00476182" w:rsidRPr="00F708EC" w:rsidRDefault="00476182" w:rsidP="00476182">
      <w:pPr>
        <w:pStyle w:val="ListParagraph"/>
        <w:numPr>
          <w:ilvl w:val="0"/>
          <w:numId w:val="3"/>
        </w:numPr>
        <w:spacing w:line="276" w:lineRule="auto"/>
        <w:jc w:val="both"/>
        <w:rPr>
          <w:lang w:val="bg-BG"/>
        </w:rPr>
      </w:pPr>
      <w:r w:rsidRPr="00F708EC">
        <w:rPr>
          <w:lang w:val="bg-BG"/>
        </w:rPr>
        <w:t>• сектора на първичното производство на селскостопански продукти;</w:t>
      </w:r>
    </w:p>
    <w:p w:rsidR="00476182" w:rsidRPr="00F708EC" w:rsidRDefault="00476182" w:rsidP="00476182">
      <w:pPr>
        <w:pStyle w:val="ListParagraph"/>
        <w:numPr>
          <w:ilvl w:val="0"/>
          <w:numId w:val="3"/>
        </w:numPr>
        <w:spacing w:line="276" w:lineRule="auto"/>
        <w:jc w:val="both"/>
        <w:rPr>
          <w:lang w:val="bg-BG"/>
        </w:rPr>
      </w:pPr>
      <w:r w:rsidRPr="00F708EC">
        <w:rPr>
          <w:lang w:val="bg-BG"/>
        </w:rPr>
        <w:t>• сектора на преработката и търговията със селскостопански продукти, в следните случаи:</w:t>
      </w:r>
    </w:p>
    <w:p w:rsidR="00476182" w:rsidRPr="00F708EC" w:rsidRDefault="00476182" w:rsidP="00476182">
      <w:pPr>
        <w:pStyle w:val="ListParagraph"/>
        <w:numPr>
          <w:ilvl w:val="0"/>
          <w:numId w:val="3"/>
        </w:numPr>
        <w:spacing w:line="276" w:lineRule="auto"/>
        <w:jc w:val="both"/>
        <w:rPr>
          <w:lang w:val="bg-BG"/>
        </w:rPr>
      </w:pPr>
      <w:r w:rsidRPr="00F708EC">
        <w:rPr>
          <w:lang w:val="bg-BG"/>
        </w:rPr>
        <w:t>-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rsidR="00476182" w:rsidRPr="00F708EC" w:rsidRDefault="00476182" w:rsidP="00476182">
      <w:pPr>
        <w:pStyle w:val="ListParagraph"/>
        <w:numPr>
          <w:ilvl w:val="0"/>
          <w:numId w:val="3"/>
        </w:numPr>
        <w:spacing w:line="276" w:lineRule="auto"/>
        <w:jc w:val="both"/>
        <w:rPr>
          <w:lang w:val="bg-BG"/>
        </w:rPr>
      </w:pPr>
      <w:r w:rsidRPr="00F708EC">
        <w:rPr>
          <w:lang w:val="bg-BG"/>
        </w:rPr>
        <w:lastRenderedPageBreak/>
        <w:t>помощите, отпуснати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 или</w:t>
      </w:r>
    </w:p>
    <w:p w:rsidR="00476182" w:rsidRPr="00F708EC" w:rsidRDefault="00476182" w:rsidP="00476182">
      <w:pPr>
        <w:pStyle w:val="ListParagraph"/>
        <w:numPr>
          <w:ilvl w:val="0"/>
          <w:numId w:val="3"/>
        </w:numPr>
        <w:spacing w:line="276" w:lineRule="auto"/>
        <w:jc w:val="both"/>
        <w:rPr>
          <w:lang w:val="bg-BG"/>
        </w:rPr>
      </w:pPr>
      <w:r w:rsidRPr="00F708EC">
        <w:rPr>
          <w:lang w:val="bg-BG"/>
        </w:rPr>
        <w:t>- когато помощта е свързана със задължението да бъде прехвърлена частично или изцяло на първичните производители.</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
          <w:bCs/>
          <w:sz w:val="24"/>
          <w:szCs w:val="24"/>
          <w:lang w:val="bg-BG"/>
        </w:rPr>
      </w:pPr>
    </w:p>
    <w:p w:rsidR="00476182" w:rsidRPr="00F708EC" w:rsidRDefault="00476182" w:rsidP="00476182">
      <w:pPr>
        <w:widowControl w:val="0"/>
        <w:numPr>
          <w:ilvl w:val="0"/>
          <w:numId w:val="1"/>
        </w:numPr>
        <w:autoSpaceDE w:val="0"/>
        <w:autoSpaceDN w:val="0"/>
        <w:adjustRightInd w:val="0"/>
        <w:snapToGrid w:val="0"/>
        <w:spacing w:after="120"/>
        <w:rPr>
          <w:rFonts w:ascii="Times New Roman" w:hAnsi="Times New Roman"/>
          <w:b/>
          <w:bCs/>
          <w:sz w:val="24"/>
          <w:szCs w:val="24"/>
          <w:lang w:val="bg-BG"/>
        </w:rPr>
      </w:pPr>
      <w:r w:rsidRPr="00F708EC">
        <w:rPr>
          <w:rFonts w:ascii="Times New Roman" w:hAnsi="Times New Roman"/>
          <w:b/>
          <w:bCs/>
          <w:sz w:val="24"/>
          <w:szCs w:val="24"/>
          <w:lang w:val="bg-BG"/>
        </w:rPr>
        <w:t>РЕЖИМ ЗА ПРЕДОСТАВЯНЕ НА СРЕДСТВАТА</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
          <w:sz w:val="24"/>
          <w:szCs w:val="24"/>
          <w:lang w:val="bg-BG"/>
        </w:rPr>
      </w:pPr>
      <w:r w:rsidRPr="00F708EC">
        <w:rPr>
          <w:rFonts w:ascii="Times New Roman" w:hAnsi="Times New Roman"/>
          <w:b/>
          <w:sz w:val="24"/>
          <w:szCs w:val="24"/>
          <w:lang w:val="bg-BG"/>
        </w:rPr>
        <w:t>3.1 Режим „не помощ“ – помощ извън обхвата на чл. 107, пар. 1 от ДФЕС (помощ, която не е държавна помощ и не е минимална помощ)</w:t>
      </w:r>
    </w:p>
    <w:p w:rsidR="00476182" w:rsidRPr="00F708EC" w:rsidRDefault="00476182" w:rsidP="00476182">
      <w:pPr>
        <w:pStyle w:val="ListParagraph"/>
        <w:snapToGrid w:val="0"/>
        <w:spacing w:after="120" w:line="276" w:lineRule="auto"/>
        <w:ind w:left="0"/>
        <w:jc w:val="both"/>
        <w:rPr>
          <w:rFonts w:eastAsia="Calibri"/>
          <w:lang w:val="bg-BG" w:eastAsia="en-US"/>
        </w:rPr>
      </w:pPr>
      <w:r w:rsidRPr="00F708EC">
        <w:rPr>
          <w:rFonts w:eastAsia="Calibri"/>
          <w:lang w:val="bg-BG" w:eastAsia="en-US"/>
        </w:rPr>
        <w:t xml:space="preserve">Член 107, параграф 1 от ДФЕС не се прилага, когато държавата действа „при упражняване на публични правомощия“ или когато публичноправни субекти действат „в качеството си на публични органи“, както в конкретната схема се разработват политики. Може да се смята, че даден субект действа при упражняване на публични правомощия, когато дейността представлява задача, която е част от основните функции на държавата или е свързана с тези функции по естеството си, целта си и разпоредбите, на които подлежи . Като цяло, освен ако дадена държава членка не е решила да въведе пазарни механизми, дейностите, които по същество са част от прерогативите на официалната власт и се извършват от държавата, не представляват стопански дейности. </w:t>
      </w:r>
    </w:p>
    <w:p w:rsidR="00476182" w:rsidRPr="00F708EC" w:rsidRDefault="00476182" w:rsidP="00476182">
      <w:pPr>
        <w:pStyle w:val="ListParagraph"/>
        <w:snapToGrid w:val="0"/>
        <w:spacing w:after="120" w:line="276" w:lineRule="auto"/>
        <w:ind w:left="0"/>
        <w:jc w:val="both"/>
        <w:rPr>
          <w:lang w:val="bg-BG"/>
        </w:rPr>
      </w:pPr>
      <w:r w:rsidRPr="00F708EC">
        <w:rPr>
          <w:color w:val="000000" w:themeColor="text1"/>
          <w:lang w:val="bg-BG"/>
        </w:rPr>
        <w:t>Случаите, в които кандидатът е лице, по смисъла на § 1, т. 29 от допълнителните разпоредби на ЗДДФЛ, „лица, упражняващи свободна професия“, което използва допустимото финансиране не за осъществяване на стопанска дейност, а извършва дйност доброволчески начела с цел популяризиране на културното наследство, същите не се считат за получатели на минимална помощ (</w:t>
      </w:r>
      <w:r w:rsidRPr="00F708EC">
        <w:rPr>
          <w:lang w:val="bg-BG"/>
        </w:rPr>
        <w:t>помощ “de minimis”) и към тях не са приложими условията по т..2.</w:t>
      </w:r>
      <w:r w:rsidRPr="00F708EC">
        <w:rPr>
          <w:rStyle w:val="FootnoteReference"/>
          <w:lang w:val="bg-BG"/>
        </w:rPr>
        <w:footnoteReference w:id="2"/>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
          <w:sz w:val="24"/>
          <w:szCs w:val="24"/>
          <w:lang w:val="bg-BG"/>
        </w:rPr>
      </w:pPr>
      <w:r w:rsidRPr="00F708EC">
        <w:rPr>
          <w:rFonts w:ascii="Times New Roman" w:hAnsi="Times New Roman"/>
          <w:b/>
          <w:sz w:val="24"/>
          <w:szCs w:val="24"/>
          <w:lang w:val="bg-BG"/>
        </w:rPr>
        <w:t xml:space="preserve">3.2. Режим „минимална помощ“ (помощ „de minimis”) </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sz w:val="24"/>
          <w:szCs w:val="24"/>
          <w:lang w:val="bg-BG"/>
        </w:rPr>
        <w:t xml:space="preserve">За целите на </w:t>
      </w:r>
      <w:r w:rsidRPr="00F708EC">
        <w:rPr>
          <w:rFonts w:ascii="Times New Roman" w:hAnsi="Times New Roman"/>
          <w:bCs/>
          <w:sz w:val="24"/>
          <w:szCs w:val="24"/>
          <w:lang w:val="bg-BG"/>
        </w:rPr>
        <w:t>Регламент (ЕС) 2023/2831 г</w:t>
      </w:r>
      <w:r w:rsidRPr="00F708EC">
        <w:rPr>
          <w:rFonts w:ascii="Times New Roman" w:hAnsi="Times New Roman"/>
          <w:color w:val="000000" w:themeColor="text1"/>
          <w:sz w:val="24"/>
          <w:szCs w:val="24"/>
          <w:lang w:val="bg-BG"/>
        </w:rPr>
        <w:t>,</w:t>
      </w:r>
      <w:r w:rsidRPr="00F708EC">
        <w:rPr>
          <w:rFonts w:ascii="Times New Roman" w:hAnsi="Times New Roman"/>
          <w:sz w:val="24"/>
          <w:szCs w:val="24"/>
          <w:lang w:val="bg-BG"/>
        </w:rPr>
        <w:t xml:space="preserve"> сдруженията на артисти се явяват „предприятия“ по отношение на физическите и юридическите лица, които участват в тях и които извършват икономическа дейност. </w:t>
      </w:r>
    </w:p>
    <w:p w:rsidR="00476182" w:rsidRPr="00F708EC" w:rsidRDefault="00476182" w:rsidP="00476182">
      <w:pPr>
        <w:spacing w:after="100"/>
        <w:jc w:val="both"/>
        <w:rPr>
          <w:rFonts w:ascii="Times New Roman" w:hAnsi="Times New Roman"/>
          <w:sz w:val="24"/>
          <w:szCs w:val="24"/>
          <w:lang w:val="bg-BG"/>
        </w:rPr>
      </w:pPr>
      <w:r w:rsidRPr="00F708EC">
        <w:rPr>
          <w:rFonts w:ascii="Times New Roman" w:hAnsi="Times New Roman"/>
          <w:b/>
          <w:bCs/>
          <w:sz w:val="24"/>
          <w:szCs w:val="24"/>
          <w:lang w:val="bg-BG"/>
        </w:rPr>
        <w:t xml:space="preserve">Максималният размер на помощта </w:t>
      </w:r>
      <w:r w:rsidRPr="00F708EC">
        <w:rPr>
          <w:rFonts w:ascii="Times New Roman" w:hAnsi="Times New Roman"/>
          <w:b/>
          <w:sz w:val="24"/>
          <w:szCs w:val="24"/>
          <w:lang w:val="bg-BG"/>
        </w:rPr>
        <w:t xml:space="preserve">за едно и също предприятие </w:t>
      </w:r>
      <w:r w:rsidRPr="00F708EC">
        <w:rPr>
          <w:rFonts w:ascii="Times New Roman" w:hAnsi="Times New Roman"/>
          <w:b/>
          <w:bCs/>
          <w:sz w:val="24"/>
          <w:szCs w:val="24"/>
          <w:lang w:val="bg-BG"/>
        </w:rPr>
        <w:t xml:space="preserve">в режим „минимална помощ” </w:t>
      </w:r>
      <w:r w:rsidRPr="00F708EC">
        <w:rPr>
          <w:rFonts w:ascii="Times New Roman" w:hAnsi="Times New Roman"/>
          <w:bCs/>
          <w:sz w:val="24"/>
          <w:szCs w:val="24"/>
          <w:lang w:val="bg-BG"/>
        </w:rPr>
        <w:t xml:space="preserve">(de minimis), за която се кандидатства, заедно с другите получени минимални помощи от кандидата, не може да надхвърля левовата равностойност на 300 000 евро (586 749 лева) за период от три предходни години, </w:t>
      </w:r>
      <w:r w:rsidRPr="00F708EC">
        <w:rPr>
          <w:rFonts w:ascii="Times New Roman" w:hAnsi="Times New Roman"/>
          <w:sz w:val="24"/>
          <w:szCs w:val="24"/>
          <w:lang w:val="bg-BG"/>
        </w:rPr>
        <w:t>считано от датата на предоставяне на помощта.</w:t>
      </w:r>
    </w:p>
    <w:p w:rsidR="00476182" w:rsidRPr="00F708EC" w:rsidRDefault="00476182" w:rsidP="00476182">
      <w:pPr>
        <w:jc w:val="both"/>
        <w:rPr>
          <w:rFonts w:ascii="Times New Roman" w:hAnsi="Times New Roman"/>
          <w:bCs/>
          <w:sz w:val="24"/>
          <w:szCs w:val="24"/>
          <w:lang w:val="bg-BG"/>
        </w:rPr>
      </w:pPr>
      <w:r w:rsidRPr="00F708EC">
        <w:rPr>
          <w:rFonts w:ascii="Times New Roman" w:hAnsi="Times New Roman"/>
          <w:b/>
          <w:bCs/>
          <w:sz w:val="24"/>
          <w:szCs w:val="24"/>
          <w:lang w:val="bg-BG"/>
        </w:rPr>
        <w:t>Размерът на получените минимални помощи</w:t>
      </w:r>
      <w:r w:rsidRPr="00F708EC">
        <w:rPr>
          <w:rFonts w:ascii="Times New Roman" w:hAnsi="Times New Roman"/>
          <w:bCs/>
          <w:sz w:val="24"/>
          <w:szCs w:val="24"/>
          <w:lang w:val="bg-BG"/>
        </w:rPr>
        <w:t xml:space="preserve"> се определя като сбор от помощта, за която се кандидатства и получената минимална помощ на територията на Република България от:</w:t>
      </w:r>
    </w:p>
    <w:p w:rsidR="00476182" w:rsidRPr="00F708EC" w:rsidRDefault="00476182" w:rsidP="00476182">
      <w:pPr>
        <w:jc w:val="both"/>
        <w:rPr>
          <w:rFonts w:ascii="Times New Roman" w:hAnsi="Times New Roman"/>
          <w:bCs/>
          <w:sz w:val="24"/>
          <w:szCs w:val="24"/>
          <w:lang w:val="bg-BG"/>
        </w:rPr>
      </w:pPr>
      <w:r w:rsidRPr="00F708EC">
        <w:rPr>
          <w:rFonts w:ascii="Times New Roman" w:hAnsi="Times New Roman"/>
          <w:bCs/>
          <w:sz w:val="24"/>
          <w:szCs w:val="24"/>
          <w:lang w:val="bg-BG"/>
        </w:rPr>
        <w:lastRenderedPageBreak/>
        <w:t>• предприятието-кандидат;</w:t>
      </w:r>
    </w:p>
    <w:p w:rsidR="00476182" w:rsidRPr="00F708EC" w:rsidRDefault="00476182" w:rsidP="00476182">
      <w:pPr>
        <w:jc w:val="both"/>
        <w:rPr>
          <w:rFonts w:ascii="Times New Roman" w:hAnsi="Times New Roman"/>
          <w:bCs/>
          <w:sz w:val="24"/>
          <w:szCs w:val="24"/>
          <w:lang w:val="bg-BG"/>
        </w:rPr>
      </w:pPr>
      <w:r w:rsidRPr="00F708EC">
        <w:rPr>
          <w:rFonts w:ascii="Times New Roman" w:hAnsi="Times New Roman"/>
          <w:bCs/>
          <w:sz w:val="24"/>
          <w:szCs w:val="24"/>
          <w:lang w:val="bg-BG"/>
        </w:rPr>
        <w:t xml:space="preserve">• предприятията, с които предприятието - кандидат образува „едно и също предприятие” по смисъла на чл. 2, пар. 2 на Регламент (ЕС) № 2023/2831; </w:t>
      </w:r>
    </w:p>
    <w:p w:rsidR="00476182" w:rsidRPr="00F708EC" w:rsidRDefault="00476182" w:rsidP="00476182">
      <w:pPr>
        <w:jc w:val="both"/>
        <w:rPr>
          <w:rFonts w:ascii="Times New Roman" w:hAnsi="Times New Roman"/>
          <w:bCs/>
          <w:sz w:val="24"/>
          <w:szCs w:val="24"/>
          <w:lang w:val="bg-BG"/>
        </w:rPr>
      </w:pPr>
      <w:r w:rsidRPr="00F708EC">
        <w:rPr>
          <w:rFonts w:ascii="Times New Roman" w:hAnsi="Times New Roman"/>
          <w:bCs/>
          <w:sz w:val="24"/>
          <w:szCs w:val="24"/>
          <w:lang w:val="bg-BG"/>
        </w:rPr>
        <w:t>• всички предприятия, които са се влели, слели с или са придобити от някое от предприятията,  образуващи „едно и също предприятие” с предприятието - кандидат, съгласно чл. 3, пар. 8 на Регламент (ЕС) № 2023/2831;</w:t>
      </w:r>
    </w:p>
    <w:p w:rsidR="00476182" w:rsidRPr="00F708EC" w:rsidRDefault="00476182" w:rsidP="00476182">
      <w:pPr>
        <w:jc w:val="both"/>
        <w:rPr>
          <w:rFonts w:ascii="Times New Roman" w:hAnsi="Times New Roman"/>
          <w:bCs/>
          <w:sz w:val="24"/>
          <w:szCs w:val="24"/>
          <w:lang w:val="bg-BG"/>
        </w:rPr>
      </w:pPr>
      <w:r w:rsidRPr="00F708EC">
        <w:rPr>
          <w:rFonts w:ascii="Times New Roman" w:hAnsi="Times New Roman"/>
          <w:bCs/>
          <w:sz w:val="24"/>
          <w:szCs w:val="24"/>
          <w:lang w:val="bg-BG"/>
        </w:rPr>
        <w:t>• предприятията, образуващи „едно и също предприятие” с предприятието - кандидат, които са се</w:t>
      </w:r>
      <w:r w:rsidRPr="00F708EC">
        <w:rPr>
          <w:rFonts w:ascii="Times New Roman" w:hAnsi="Times New Roman"/>
          <w:sz w:val="24"/>
          <w:szCs w:val="24"/>
          <w:lang w:val="bg-BG"/>
        </w:rPr>
        <w:t xml:space="preserve"> </w:t>
      </w:r>
      <w:r w:rsidRPr="00F708EC">
        <w:rPr>
          <w:rFonts w:ascii="Times New Roman" w:hAnsi="Times New Roman"/>
          <w:bCs/>
          <w:sz w:val="24"/>
          <w:szCs w:val="24"/>
          <w:lang w:val="bg-BG"/>
        </w:rPr>
        <w:t>възползвали от помощ de minimis, получена преди разделяне или отделяне, съгласно чл. 3, пар. 9 от Регламент (ЕС) № 2023/2831.</w:t>
      </w:r>
    </w:p>
    <w:p w:rsidR="00476182" w:rsidRPr="00F708EC" w:rsidRDefault="00476182" w:rsidP="00476182">
      <w:pPr>
        <w:spacing w:after="120"/>
        <w:jc w:val="both"/>
        <w:rPr>
          <w:rFonts w:ascii="Times New Roman" w:eastAsia="Times New Roman" w:hAnsi="Times New Roman"/>
          <w:snapToGrid w:val="0"/>
          <w:sz w:val="24"/>
          <w:szCs w:val="24"/>
          <w:lang w:val="bg-BG"/>
        </w:rPr>
      </w:pPr>
      <w:r w:rsidRPr="00F708EC">
        <w:rPr>
          <w:rFonts w:ascii="Times New Roman" w:hAnsi="Times New Roman"/>
          <w:bCs/>
          <w:sz w:val="24"/>
          <w:szCs w:val="24"/>
          <w:lang w:val="bg-BG"/>
        </w:rPr>
        <w:t xml:space="preserve">Съгласно чл. 2, пар. 2 от Регламент (ЕС) № 2023/2831 </w:t>
      </w:r>
      <w:r w:rsidRPr="00F708EC">
        <w:rPr>
          <w:rFonts w:ascii="Times New Roman" w:eastAsia="Times New Roman" w:hAnsi="Times New Roman"/>
          <w:snapToGrid w:val="0"/>
          <w:sz w:val="24"/>
          <w:szCs w:val="24"/>
          <w:lang w:val="bg-BG"/>
        </w:rPr>
        <w:t xml:space="preserve">„едно и също предприятие” означава всички предприятия, които поддържат помежду си поне един вид от следните взаимоотношения: </w:t>
      </w:r>
    </w:p>
    <w:p w:rsidR="00476182" w:rsidRPr="00F708EC" w:rsidRDefault="00476182" w:rsidP="00476182">
      <w:pPr>
        <w:spacing w:after="120"/>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 xml:space="preserve">а) дадено предприятие притежава мнозинството от гласовете на акционерите или съдружниците в друго предприятие; </w:t>
      </w:r>
    </w:p>
    <w:p w:rsidR="00476182" w:rsidRPr="00F708EC" w:rsidRDefault="00476182" w:rsidP="00476182">
      <w:pPr>
        <w:spacing w:after="120"/>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476182" w:rsidRPr="00F708EC" w:rsidRDefault="00476182" w:rsidP="00476182">
      <w:pPr>
        <w:spacing w:after="120"/>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съгласно разпоредба в неговия устав или учредителен акт; </w:t>
      </w:r>
    </w:p>
    <w:p w:rsidR="00476182" w:rsidRPr="00F708EC" w:rsidRDefault="00476182" w:rsidP="00476182">
      <w:pPr>
        <w:spacing w:after="120"/>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 </w:t>
      </w:r>
    </w:p>
    <w:p w:rsidR="00476182" w:rsidRPr="00F708EC" w:rsidRDefault="00476182" w:rsidP="00476182">
      <w:pPr>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Предприятия, поддържащи едно от взаимоотношенията, посочени в букви а) - г) посредством едно или няколко други предприятия, също се разглеждат като едно и също предприятие.</w:t>
      </w:r>
    </w:p>
    <w:p w:rsidR="00476182" w:rsidRPr="00F708EC" w:rsidRDefault="00476182" w:rsidP="00476182">
      <w:pPr>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В случай на сливания, вливания или придобивания всички предходни помощи „de minimis”, предоставени на някое от сливащите се предприятия, се вземат под внимание при определяне на това дали дадена нова помощ „de minimis”, отпусната на новото предприятие или на придобиващото предприятие, не води до превишаване на съответния таван.</w:t>
      </w:r>
    </w:p>
    <w:p w:rsidR="00476182" w:rsidRPr="00F708EC" w:rsidRDefault="00476182" w:rsidP="00476182">
      <w:pPr>
        <w:jc w:val="both"/>
        <w:rPr>
          <w:rFonts w:ascii="Times New Roman" w:eastAsia="Times New Roman" w:hAnsi="Times New Roman"/>
          <w:snapToGrid w:val="0"/>
          <w:sz w:val="24"/>
          <w:szCs w:val="24"/>
          <w:lang w:val="bg-BG"/>
        </w:rPr>
      </w:pPr>
      <w:r w:rsidRPr="00F708EC">
        <w:rPr>
          <w:rFonts w:ascii="Times New Roman" w:eastAsia="Times New Roman" w:hAnsi="Times New Roman"/>
          <w:snapToGrid w:val="0"/>
          <w:sz w:val="24"/>
          <w:szCs w:val="24"/>
          <w:lang w:val="bg-BG"/>
        </w:rPr>
        <w:t xml:space="preserve">Ако дадено предприятие се разделя на две или повече отделни предприятия, помощта „de minimis”, отпусната преди разделянето, се счита за предоставена на предприятието, което се е възползвало от нея, като по принцип това е предприятието, поемащо дейностите, за които е била използвана помощта „de minimis”. Ако не е възможно по този начин да се определи кое предприятие е получило помощта, то тя се разпределя </w:t>
      </w:r>
      <w:r w:rsidRPr="00F708EC">
        <w:rPr>
          <w:rFonts w:ascii="Times New Roman" w:eastAsia="Times New Roman" w:hAnsi="Times New Roman"/>
          <w:snapToGrid w:val="0"/>
          <w:sz w:val="24"/>
          <w:szCs w:val="24"/>
          <w:lang w:val="bg-BG"/>
        </w:rPr>
        <w:lastRenderedPageBreak/>
        <w:t>пропорционално на базата на счетоводната стойност на собствения капитал на новите предприятия към действителната дата на разделянето/отделянето.</w:t>
      </w:r>
    </w:p>
    <w:p w:rsidR="00476182" w:rsidRPr="00F708EC" w:rsidRDefault="00476182" w:rsidP="00476182">
      <w:pPr>
        <w:tabs>
          <w:tab w:val="left" w:pos="426"/>
        </w:tabs>
        <w:snapToGrid w:val="0"/>
        <w:spacing w:after="120"/>
        <w:jc w:val="both"/>
        <w:rPr>
          <w:rFonts w:ascii="Times New Roman" w:eastAsia="Times New Roman" w:hAnsi="Times New Roman"/>
          <w:sz w:val="24"/>
          <w:szCs w:val="24"/>
          <w:lang w:val="bg-BG" w:eastAsia="bg-BG"/>
        </w:rPr>
      </w:pPr>
      <w:r w:rsidRPr="00F708EC">
        <w:rPr>
          <w:rFonts w:ascii="Times New Roman" w:eastAsia="Times New Roman" w:hAnsi="Times New Roman"/>
          <w:sz w:val="24"/>
          <w:szCs w:val="24"/>
          <w:lang w:val="bg-BG"/>
        </w:rPr>
        <w:t>Общият принцип, според който Съдът на ЕС</w:t>
      </w:r>
      <w:r w:rsidRPr="00F708EC">
        <w:rPr>
          <w:rFonts w:ascii="Times New Roman" w:eastAsia="Times New Roman" w:hAnsi="Times New Roman"/>
          <w:sz w:val="24"/>
          <w:szCs w:val="24"/>
          <w:vertAlign w:val="superscript"/>
          <w:lang w:val="bg-BG"/>
        </w:rPr>
        <w:footnoteReference w:id="3"/>
      </w:r>
      <w:r w:rsidRPr="00F708EC">
        <w:rPr>
          <w:rFonts w:ascii="Times New Roman" w:eastAsia="Times New Roman" w:hAnsi="Times New Roman"/>
          <w:sz w:val="24"/>
          <w:szCs w:val="24"/>
          <w:lang w:val="bg-BG"/>
        </w:rPr>
        <w:t xml:space="preserve"> налага последователна практика да определя получателите като „предприятия”, е свързан с извършването на </w:t>
      </w:r>
      <w:r w:rsidRPr="00F708EC">
        <w:rPr>
          <w:rFonts w:ascii="Times New Roman" w:eastAsia="Times New Roman" w:hAnsi="Times New Roman"/>
          <w:i/>
          <w:sz w:val="24"/>
          <w:szCs w:val="24"/>
          <w:lang w:val="bg-BG"/>
        </w:rPr>
        <w:t>икономическа дейност</w:t>
      </w:r>
      <w:r w:rsidRPr="00F708EC">
        <w:rPr>
          <w:rFonts w:ascii="Times New Roman" w:eastAsia="Times New Roman" w:hAnsi="Times New Roman"/>
          <w:sz w:val="24"/>
          <w:szCs w:val="24"/>
          <w:lang w:val="bg-BG"/>
        </w:rPr>
        <w:t xml:space="preserve"> от тяхна страна, независимо от правната им форма, статут и начин, по който са финансирани, както и реализирането на печалба. </w:t>
      </w:r>
      <w:r w:rsidRPr="00F708EC">
        <w:rPr>
          <w:rFonts w:ascii="Times New Roman" w:eastAsia="Times New Roman" w:hAnsi="Times New Roman"/>
          <w:sz w:val="24"/>
          <w:szCs w:val="24"/>
          <w:lang w:val="bg-BG" w:eastAsia="bg-BG"/>
        </w:rPr>
        <w:t xml:space="preserve">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bCs/>
          <w:sz w:val="24"/>
          <w:szCs w:val="24"/>
          <w:lang w:val="bg-BG"/>
        </w:rPr>
      </w:pPr>
      <w:r w:rsidRPr="00F708EC">
        <w:rPr>
          <w:rFonts w:ascii="Times New Roman" w:hAnsi="Times New Roman"/>
          <w:sz w:val="24"/>
          <w:szCs w:val="24"/>
          <w:lang w:val="bg-BG"/>
        </w:rPr>
        <w:t xml:space="preserve">Настоящите условия се прилагат </w:t>
      </w:r>
      <w:r w:rsidRPr="00F708EC">
        <w:rPr>
          <w:rFonts w:ascii="Times New Roman" w:hAnsi="Times New Roman"/>
          <w:bCs/>
          <w:sz w:val="24"/>
          <w:szCs w:val="24"/>
          <w:lang w:val="bg-BG"/>
        </w:rPr>
        <w:t xml:space="preserve">към </w:t>
      </w:r>
      <w:r w:rsidRPr="00F708EC">
        <w:rPr>
          <w:rFonts w:ascii="Times New Roman" w:hAnsi="Times New Roman"/>
          <w:color w:val="000000" w:themeColor="text1"/>
          <w:sz w:val="24"/>
          <w:szCs w:val="24"/>
          <w:lang w:val="bg-BG"/>
        </w:rPr>
        <w:t xml:space="preserve">творческите съюзи, </w:t>
      </w:r>
      <w:r w:rsidRPr="00F708EC">
        <w:rPr>
          <w:rFonts w:ascii="Times New Roman" w:hAnsi="Times New Roman"/>
          <w:bCs/>
          <w:sz w:val="24"/>
          <w:szCs w:val="24"/>
          <w:lang w:val="bg-BG"/>
        </w:rPr>
        <w:t xml:space="preserve">допустими по инвестицията за получаване на БФП, в случаите, когато същите извършват някоя от следните дейности: </w:t>
      </w:r>
    </w:p>
    <w:p w:rsidR="00476182" w:rsidRPr="00F708EC" w:rsidRDefault="00476182" w:rsidP="00476182">
      <w:pPr>
        <w:widowControl w:val="0"/>
        <w:numPr>
          <w:ilvl w:val="0"/>
          <w:numId w:val="2"/>
        </w:numPr>
        <w:autoSpaceDE w:val="0"/>
        <w:autoSpaceDN w:val="0"/>
        <w:adjustRightInd w:val="0"/>
        <w:snapToGrid w:val="0"/>
        <w:spacing w:after="120"/>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Отдаване на площи под наем;</w:t>
      </w:r>
    </w:p>
    <w:p w:rsidR="00476182" w:rsidRPr="00F708EC" w:rsidRDefault="00476182" w:rsidP="00476182">
      <w:pPr>
        <w:widowControl w:val="0"/>
        <w:numPr>
          <w:ilvl w:val="0"/>
          <w:numId w:val="2"/>
        </w:numPr>
        <w:autoSpaceDE w:val="0"/>
        <w:autoSpaceDN w:val="0"/>
        <w:adjustRightInd w:val="0"/>
        <w:snapToGrid w:val="0"/>
        <w:spacing w:after="120"/>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Събиране на такси или получаване на приходи от спонсорство;</w:t>
      </w:r>
    </w:p>
    <w:p w:rsidR="00476182" w:rsidRPr="00F708EC" w:rsidRDefault="00476182" w:rsidP="00476182">
      <w:pPr>
        <w:widowControl w:val="0"/>
        <w:numPr>
          <w:ilvl w:val="0"/>
          <w:numId w:val="2"/>
        </w:numPr>
        <w:autoSpaceDE w:val="0"/>
        <w:autoSpaceDN w:val="0"/>
        <w:adjustRightInd w:val="0"/>
        <w:snapToGrid w:val="0"/>
        <w:spacing w:after="120"/>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Рекламна дейност;</w:t>
      </w:r>
    </w:p>
    <w:p w:rsidR="00476182" w:rsidRPr="00F708EC" w:rsidRDefault="00476182" w:rsidP="00476182">
      <w:pPr>
        <w:widowControl w:val="0"/>
        <w:numPr>
          <w:ilvl w:val="0"/>
          <w:numId w:val="2"/>
        </w:numPr>
        <w:autoSpaceDE w:val="0"/>
        <w:autoSpaceDN w:val="0"/>
        <w:adjustRightInd w:val="0"/>
        <w:snapToGrid w:val="0"/>
        <w:spacing w:after="120"/>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други стопански дейности.</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color w:val="000000" w:themeColor="text1"/>
          <w:sz w:val="24"/>
          <w:szCs w:val="24"/>
          <w:lang w:val="bg-BG"/>
        </w:rPr>
      </w:pPr>
      <w:r w:rsidRPr="00F708EC">
        <w:rPr>
          <w:rFonts w:ascii="Times New Roman" w:hAnsi="Times New Roman"/>
          <w:sz w:val="24"/>
          <w:szCs w:val="24"/>
          <w:lang w:val="bg-BG"/>
        </w:rPr>
        <w:t xml:space="preserve">В тези случаи, </w:t>
      </w:r>
      <w:r w:rsidRPr="00F708EC">
        <w:rPr>
          <w:rFonts w:ascii="Times New Roman" w:hAnsi="Times New Roman"/>
          <w:color w:val="000000" w:themeColor="text1"/>
          <w:sz w:val="24"/>
          <w:szCs w:val="24"/>
          <w:lang w:val="bg-BG"/>
        </w:rPr>
        <w:t>творческите съюзи</w:t>
      </w:r>
      <w:r w:rsidRPr="00F708EC">
        <w:rPr>
          <w:rFonts w:ascii="Times New Roman" w:hAnsi="Times New Roman"/>
          <w:sz w:val="24"/>
          <w:szCs w:val="24"/>
          <w:lang w:val="bg-BG"/>
        </w:rPr>
        <w:t xml:space="preserve"> се считат за получатели на минимална помощ и към тях следва да се прилагат условията на </w:t>
      </w:r>
      <w:r w:rsidRPr="00F708EC">
        <w:rPr>
          <w:rFonts w:ascii="Times New Roman" w:hAnsi="Times New Roman"/>
          <w:bCs/>
          <w:sz w:val="24"/>
          <w:szCs w:val="24"/>
          <w:lang w:val="bg-BG"/>
        </w:rPr>
        <w:t>Регламент (ЕС) 2023/2831</w:t>
      </w:r>
      <w:r w:rsidRPr="00F708EC">
        <w:rPr>
          <w:rFonts w:ascii="Times New Roman" w:hAnsi="Times New Roman"/>
          <w:color w:val="000000" w:themeColor="text1"/>
          <w:sz w:val="24"/>
          <w:szCs w:val="24"/>
          <w:lang w:val="bg-BG"/>
        </w:rPr>
        <w:t xml:space="preserve">. </w:t>
      </w:r>
    </w:p>
    <w:p w:rsidR="00476182" w:rsidRPr="00F708EC" w:rsidRDefault="00476182" w:rsidP="00476182">
      <w:pPr>
        <w:widowControl w:val="0"/>
        <w:autoSpaceDE w:val="0"/>
        <w:autoSpaceDN w:val="0"/>
        <w:adjustRightInd w:val="0"/>
        <w:snapToGrid w:val="0"/>
        <w:spacing w:after="120"/>
        <w:ind w:left="4"/>
        <w:jc w:val="both"/>
        <w:rPr>
          <w:rFonts w:ascii="Times New Roman" w:hAnsi="Times New Roman"/>
          <w:color w:val="000000" w:themeColor="text1"/>
          <w:sz w:val="24"/>
          <w:szCs w:val="24"/>
          <w:lang w:val="bg-BG"/>
        </w:rPr>
      </w:pPr>
      <w:r w:rsidRPr="00F708EC">
        <w:rPr>
          <w:rFonts w:ascii="Times New Roman" w:hAnsi="Times New Roman"/>
          <w:sz w:val="24"/>
          <w:szCs w:val="24"/>
          <w:lang w:val="bg-BG"/>
        </w:rPr>
        <w:t xml:space="preserve">Предприятията, които имат предмет на дейност разработката, производството, разпространението и рекламата на аудио-визуални произведения, за целите на процедурата също попадат в приложното поле на </w:t>
      </w:r>
      <w:r w:rsidRPr="00F708EC">
        <w:rPr>
          <w:rFonts w:ascii="Times New Roman" w:hAnsi="Times New Roman"/>
          <w:bCs/>
          <w:sz w:val="24"/>
          <w:szCs w:val="24"/>
          <w:lang w:val="bg-BG"/>
        </w:rPr>
        <w:t>Регламент (ЕС) 2023/2831</w:t>
      </w:r>
      <w:r w:rsidRPr="00F708EC">
        <w:rPr>
          <w:rFonts w:ascii="Times New Roman" w:hAnsi="Times New Roman"/>
          <w:color w:val="000000" w:themeColor="text1"/>
          <w:sz w:val="24"/>
          <w:szCs w:val="24"/>
          <w:lang w:val="bg-BG"/>
        </w:rPr>
        <w:t>.</w:t>
      </w:r>
    </w:p>
    <w:p w:rsidR="00476182" w:rsidRPr="00F708EC" w:rsidRDefault="00476182" w:rsidP="00476182">
      <w:pPr>
        <w:pStyle w:val="ListParagraph"/>
        <w:widowControl w:val="0"/>
        <w:numPr>
          <w:ilvl w:val="1"/>
          <w:numId w:val="4"/>
        </w:numPr>
        <w:overflowPunct w:val="0"/>
        <w:autoSpaceDE w:val="0"/>
        <w:autoSpaceDN w:val="0"/>
        <w:adjustRightInd w:val="0"/>
        <w:snapToGrid w:val="0"/>
        <w:spacing w:after="120" w:line="276" w:lineRule="auto"/>
        <w:jc w:val="both"/>
        <w:rPr>
          <w:b/>
          <w:lang w:val="bg-BG"/>
        </w:rPr>
      </w:pPr>
      <w:r w:rsidRPr="00F708EC">
        <w:rPr>
          <w:b/>
          <w:lang w:val="bg-BG"/>
        </w:rPr>
        <w:t>Специфични изисквания</w:t>
      </w:r>
    </w:p>
    <w:p w:rsidR="00476182" w:rsidRPr="00F708EC" w:rsidRDefault="00476182" w:rsidP="00476182">
      <w:pPr>
        <w:widowControl w:val="0"/>
        <w:overflowPunct w:val="0"/>
        <w:autoSpaceDE w:val="0"/>
        <w:autoSpaceDN w:val="0"/>
        <w:adjustRightInd w:val="0"/>
        <w:snapToGrid w:val="0"/>
        <w:spacing w:after="120"/>
        <w:ind w:left="4"/>
        <w:jc w:val="both"/>
        <w:rPr>
          <w:rFonts w:ascii="Times New Roman" w:hAnsi="Times New Roman"/>
          <w:sz w:val="24"/>
          <w:szCs w:val="24"/>
          <w:lang w:val="bg-BG"/>
        </w:rPr>
      </w:pPr>
      <w:r w:rsidRPr="00F708EC">
        <w:rPr>
          <w:rFonts w:ascii="Times New Roman" w:hAnsi="Times New Roman"/>
          <w:sz w:val="24"/>
          <w:szCs w:val="24"/>
          <w:lang w:val="bg-BG"/>
        </w:rPr>
        <w:t xml:space="preserve">За сдружения, които са предприятия за целите на </w:t>
      </w:r>
      <w:r w:rsidRPr="00F708EC">
        <w:rPr>
          <w:rFonts w:ascii="Times New Roman" w:hAnsi="Times New Roman"/>
          <w:bCs/>
          <w:sz w:val="24"/>
          <w:szCs w:val="24"/>
          <w:lang w:val="bg-BG"/>
        </w:rPr>
        <w:t xml:space="preserve">Регламент (ЕС) 2023/2831 </w:t>
      </w:r>
      <w:r w:rsidRPr="00F708EC">
        <w:rPr>
          <w:rFonts w:ascii="Times New Roman" w:hAnsi="Times New Roman"/>
          <w:color w:val="000000" w:themeColor="text1"/>
          <w:sz w:val="24"/>
          <w:szCs w:val="24"/>
          <w:lang w:val="bg-BG"/>
        </w:rPr>
        <w:t>се прилагат изискванията на „едно и също предприятие“.</w:t>
      </w:r>
    </w:p>
    <w:p w:rsidR="00476182" w:rsidRPr="00F708EC" w:rsidRDefault="00476182" w:rsidP="00476182">
      <w:pPr>
        <w:widowControl w:val="0"/>
        <w:overflowPunct w:val="0"/>
        <w:autoSpaceDE w:val="0"/>
        <w:autoSpaceDN w:val="0"/>
        <w:adjustRightInd w:val="0"/>
        <w:snapToGrid w:val="0"/>
        <w:spacing w:after="120"/>
        <w:ind w:left="4"/>
        <w:jc w:val="both"/>
        <w:rPr>
          <w:rFonts w:ascii="Times New Roman" w:hAnsi="Times New Roman"/>
          <w:sz w:val="24"/>
          <w:szCs w:val="24"/>
          <w:lang w:val="bg-BG"/>
        </w:rPr>
      </w:pPr>
      <w:r w:rsidRPr="00F708EC">
        <w:rPr>
          <w:rFonts w:ascii="Times New Roman" w:hAnsi="Times New Roman"/>
          <w:sz w:val="24"/>
          <w:szCs w:val="24"/>
          <w:lang w:val="bg-BG"/>
        </w:rPr>
        <w:t xml:space="preserve">Съгласно </w:t>
      </w:r>
      <w:r w:rsidRPr="00F708EC">
        <w:rPr>
          <w:rFonts w:ascii="Times New Roman" w:hAnsi="Times New Roman"/>
          <w:bCs/>
          <w:sz w:val="24"/>
          <w:szCs w:val="24"/>
          <w:lang w:val="bg-BG"/>
        </w:rPr>
        <w:t>Регламент (ЕС) 2023/2831</w:t>
      </w:r>
      <w:r w:rsidRPr="00F708EC">
        <w:rPr>
          <w:rFonts w:ascii="Times New Roman" w:hAnsi="Times New Roman"/>
          <w:color w:val="000000" w:themeColor="text1"/>
          <w:sz w:val="24"/>
          <w:szCs w:val="24"/>
          <w:lang w:val="bg-BG"/>
        </w:rPr>
        <w:t xml:space="preserve">, </w:t>
      </w:r>
      <w:r w:rsidRPr="00F708EC">
        <w:rPr>
          <w:rFonts w:ascii="Times New Roman" w:hAnsi="Times New Roman"/>
          <w:sz w:val="24"/>
          <w:szCs w:val="24"/>
          <w:lang w:val="bg-BG"/>
        </w:rPr>
        <w:t>„едно и също предприятие“ означава всички предприятия, които поддържат помежду си поне един вид от следните взаимоотношения:</w:t>
      </w:r>
    </w:p>
    <w:p w:rsidR="00476182" w:rsidRPr="00F708EC" w:rsidRDefault="00476182" w:rsidP="00476182">
      <w:pPr>
        <w:widowControl w:val="0"/>
        <w:overflowPunct w:val="0"/>
        <w:autoSpaceDE w:val="0"/>
        <w:autoSpaceDN w:val="0"/>
        <w:adjustRightInd w:val="0"/>
        <w:snapToGrid w:val="0"/>
        <w:spacing w:after="120"/>
        <w:ind w:left="851" w:hanging="284"/>
        <w:jc w:val="both"/>
        <w:rPr>
          <w:rFonts w:ascii="Times New Roman" w:hAnsi="Times New Roman"/>
          <w:sz w:val="24"/>
          <w:szCs w:val="24"/>
          <w:lang w:val="bg-BG"/>
        </w:rPr>
      </w:pPr>
      <w:r w:rsidRPr="00F708EC">
        <w:rPr>
          <w:rFonts w:ascii="Times New Roman" w:hAnsi="Times New Roman"/>
          <w:sz w:val="24"/>
          <w:szCs w:val="24"/>
          <w:lang w:val="bg-BG"/>
        </w:rPr>
        <w:t xml:space="preserve">а) </w:t>
      </w:r>
      <w:r w:rsidRPr="00F708EC">
        <w:rPr>
          <w:rFonts w:ascii="Times New Roman" w:hAnsi="Times New Roman"/>
          <w:sz w:val="24"/>
          <w:szCs w:val="24"/>
          <w:lang w:val="bg-BG"/>
        </w:rPr>
        <w:tab/>
        <w:t>дадено предприятие притежава мнозинството от гласовете на акционерите или съдружниците в друго предприятие;</w:t>
      </w:r>
    </w:p>
    <w:p w:rsidR="00476182" w:rsidRPr="00F708EC" w:rsidRDefault="00476182" w:rsidP="00476182">
      <w:pPr>
        <w:widowControl w:val="0"/>
        <w:overflowPunct w:val="0"/>
        <w:autoSpaceDE w:val="0"/>
        <w:autoSpaceDN w:val="0"/>
        <w:adjustRightInd w:val="0"/>
        <w:snapToGrid w:val="0"/>
        <w:spacing w:after="120"/>
        <w:ind w:left="851" w:hanging="284"/>
        <w:jc w:val="both"/>
        <w:rPr>
          <w:rFonts w:ascii="Times New Roman" w:hAnsi="Times New Roman"/>
          <w:sz w:val="24"/>
          <w:szCs w:val="24"/>
          <w:lang w:val="bg-BG"/>
        </w:rPr>
      </w:pPr>
      <w:r w:rsidRPr="00F708EC">
        <w:rPr>
          <w:rFonts w:ascii="Times New Roman" w:hAnsi="Times New Roman"/>
          <w:sz w:val="24"/>
          <w:szCs w:val="24"/>
          <w:lang w:val="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476182" w:rsidRPr="00F708EC" w:rsidRDefault="00476182" w:rsidP="00476182">
      <w:pPr>
        <w:widowControl w:val="0"/>
        <w:overflowPunct w:val="0"/>
        <w:autoSpaceDE w:val="0"/>
        <w:autoSpaceDN w:val="0"/>
        <w:adjustRightInd w:val="0"/>
        <w:snapToGrid w:val="0"/>
        <w:spacing w:after="120"/>
        <w:ind w:left="851" w:hanging="284"/>
        <w:jc w:val="both"/>
        <w:rPr>
          <w:rFonts w:ascii="Times New Roman" w:hAnsi="Times New Roman"/>
          <w:sz w:val="24"/>
          <w:szCs w:val="24"/>
          <w:lang w:val="bg-BG"/>
        </w:rPr>
      </w:pPr>
      <w:r w:rsidRPr="00F708EC">
        <w:rPr>
          <w:rFonts w:ascii="Times New Roman" w:hAnsi="Times New Roman"/>
          <w:sz w:val="24"/>
          <w:szCs w:val="24"/>
          <w:lang w:val="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476182" w:rsidRPr="00F708EC" w:rsidRDefault="00476182" w:rsidP="00476182">
      <w:pPr>
        <w:widowControl w:val="0"/>
        <w:overflowPunct w:val="0"/>
        <w:autoSpaceDE w:val="0"/>
        <w:autoSpaceDN w:val="0"/>
        <w:adjustRightInd w:val="0"/>
        <w:snapToGrid w:val="0"/>
        <w:spacing w:after="120"/>
        <w:ind w:left="851" w:hanging="284"/>
        <w:jc w:val="both"/>
        <w:rPr>
          <w:rFonts w:ascii="Times New Roman" w:hAnsi="Times New Roman"/>
          <w:sz w:val="24"/>
          <w:szCs w:val="24"/>
          <w:lang w:val="bg-BG"/>
        </w:rPr>
      </w:pPr>
      <w:r w:rsidRPr="00F708EC">
        <w:rPr>
          <w:rFonts w:ascii="Times New Roman" w:hAnsi="Times New Roman"/>
          <w:sz w:val="24"/>
          <w:szCs w:val="24"/>
          <w:lang w:val="bg-BG"/>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w:t>
      </w:r>
      <w:r w:rsidRPr="00F708EC">
        <w:rPr>
          <w:rFonts w:ascii="Times New Roman" w:hAnsi="Times New Roman"/>
          <w:sz w:val="24"/>
          <w:szCs w:val="24"/>
          <w:lang w:val="bg-BG"/>
        </w:rPr>
        <w:lastRenderedPageBreak/>
        <w:t>или съдружниците в това предприятие.</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sz w:val="24"/>
          <w:szCs w:val="24"/>
          <w:lang w:val="bg-BG"/>
        </w:rPr>
        <w:t>Предприятия, поддържащи едно от взаимоотношенията, посочени по-горе в букви а) — г), посредством едно или няколко други предприятия, също се разглеждат като едно и също предприятие.</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bCs/>
          <w:sz w:val="24"/>
          <w:szCs w:val="24"/>
          <w:lang w:val="bg-BG"/>
        </w:rPr>
      </w:pPr>
      <w:r w:rsidRPr="00F708EC">
        <w:rPr>
          <w:rFonts w:ascii="Times New Roman" w:hAnsi="Times New Roman"/>
          <w:sz w:val="24"/>
          <w:szCs w:val="24"/>
          <w:lang w:val="bg-BG"/>
        </w:rPr>
        <w:t xml:space="preserve">С оглед установяване на наличието на тези обстоятелства, СНД следва да провери дали същите са декларирани от съответния кандидат в декларацията по </w:t>
      </w:r>
      <w:r w:rsidRPr="00F708EC">
        <w:rPr>
          <w:rFonts w:ascii="Times New Roman" w:hAnsi="Times New Roman"/>
          <w:bCs/>
          <w:sz w:val="24"/>
          <w:szCs w:val="24"/>
          <w:lang w:val="bg-BG"/>
        </w:rPr>
        <w:t>Приложение № 3., Приложение № 4.</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b/>
          <w:sz w:val="24"/>
          <w:szCs w:val="24"/>
          <w:lang w:val="bg-BG"/>
        </w:rPr>
      </w:pPr>
      <w:r w:rsidRPr="00F708EC">
        <w:rPr>
          <w:rFonts w:ascii="Times New Roman" w:hAnsi="Times New Roman"/>
          <w:b/>
          <w:sz w:val="24"/>
          <w:szCs w:val="24"/>
          <w:lang w:val="bg-BG"/>
        </w:rPr>
        <w:t>Допълнителни условия към сдружения, съюзи, кооперации, които попадат в определението „предприятия“</w:t>
      </w:r>
    </w:p>
    <w:p w:rsidR="00476182" w:rsidRPr="00F708EC" w:rsidRDefault="00476182" w:rsidP="00476182">
      <w:pPr>
        <w:widowControl w:val="0"/>
        <w:overflowPunct w:val="0"/>
        <w:autoSpaceDE w:val="0"/>
        <w:autoSpaceDN w:val="0"/>
        <w:adjustRightInd w:val="0"/>
        <w:snapToGrid w:val="0"/>
        <w:spacing w:after="120"/>
        <w:ind w:left="4"/>
        <w:jc w:val="both"/>
        <w:rPr>
          <w:rFonts w:ascii="Times New Roman" w:hAnsi="Times New Roman"/>
          <w:sz w:val="24"/>
          <w:szCs w:val="24"/>
          <w:lang w:val="bg-BG"/>
        </w:rPr>
      </w:pPr>
      <w:r w:rsidRPr="00F708EC">
        <w:rPr>
          <w:rFonts w:ascii="Times New Roman" w:hAnsi="Times New Roman"/>
          <w:bCs/>
          <w:sz w:val="24"/>
          <w:szCs w:val="24"/>
          <w:lang w:val="bg-BG"/>
        </w:rPr>
        <w:t xml:space="preserve">Регламент (ЕС) 2023/2831 </w:t>
      </w:r>
      <w:r w:rsidRPr="00F708EC">
        <w:rPr>
          <w:rFonts w:ascii="Times New Roman" w:hAnsi="Times New Roman"/>
          <w:sz w:val="24"/>
          <w:szCs w:val="24"/>
          <w:lang w:val="bg-BG"/>
        </w:rPr>
        <w:t xml:space="preserve">се прилага само за помощите, при които брутният еквивалент на безвъзмездна помощ може да бъде изчислен точно и предварително, без да е необходима каквато и да било оценка на риска („прозрачна помощ“). </w:t>
      </w:r>
    </w:p>
    <w:p w:rsidR="00476182" w:rsidRPr="00F708EC" w:rsidRDefault="00476182" w:rsidP="00476182">
      <w:pPr>
        <w:widowControl w:val="0"/>
        <w:overflowPunct w:val="0"/>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Помощта по схемата се изразява като парични безвъзмездни средства (БФП), поради което се счита за прозрачна помощ. В размерът на помощта се изразява в брутно изражение, преди облагане с данъци или други такси. Предвид факта, че по схемата е въведена точна дата за получаване на помощта не се извършва сконтиране, тъй като не е налице изплащане на траншове.</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sz w:val="24"/>
          <w:szCs w:val="24"/>
          <w:lang w:val="bg-BG"/>
        </w:rPr>
        <w:t>В случай на сливания или придобивания, извършени през периода на обновяването, към датата на предоставянето на помощта, всички помощи de minimis, предоставяни на някое от сливащите се предприятия по схемата, се вземат под внимание за да се определи дали помощта отпусната по схемата на новото предприятие или на придобиващото предприятие, няма да доведе до превишаване на съответния таван.</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sz w:val="24"/>
          <w:szCs w:val="24"/>
          <w:lang w:val="bg-BG"/>
        </w:rPr>
        <w:t>Ако в периода на обновяване, към датата на предоставянето на помощта, дадено предприятие се разделя на две или повече отделни предприятия, помощта de minimis по схемата, се начислява на това предприятие, което поема дейността. В случай, че последното не е възможно се извършва пропорционално разделяне на помощта на база на счетоводната стойност на собствения капитал на новите предприятия.</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bCs/>
          <w:sz w:val="24"/>
          <w:szCs w:val="24"/>
          <w:lang w:val="bg-BG"/>
        </w:rPr>
      </w:pPr>
      <w:r w:rsidRPr="00F708EC">
        <w:rPr>
          <w:rFonts w:ascii="Times New Roman" w:hAnsi="Times New Roman"/>
          <w:sz w:val="24"/>
          <w:szCs w:val="24"/>
          <w:lang w:val="bg-BG"/>
        </w:rPr>
        <w:t xml:space="preserve">Сливанията, придобиванията и разделянията също са предмет на деклариране от кандидата предприятие в декларацията по </w:t>
      </w:r>
      <w:r w:rsidRPr="00F708EC">
        <w:rPr>
          <w:rFonts w:ascii="Times New Roman" w:hAnsi="Times New Roman"/>
          <w:bCs/>
          <w:sz w:val="24"/>
          <w:szCs w:val="24"/>
          <w:lang w:val="bg-BG"/>
        </w:rPr>
        <w:t>Приложение № 3.</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bCs/>
          <w:sz w:val="24"/>
          <w:szCs w:val="24"/>
          <w:lang w:val="bg-BG"/>
        </w:rPr>
        <w:t>Същите са необходими с оглед правилното установяване на размера на получените минимални помощи от дадено предприятие.</w:t>
      </w:r>
      <w:r w:rsidRPr="00F708EC">
        <w:rPr>
          <w:rFonts w:ascii="Times New Roman" w:hAnsi="Times New Roman"/>
          <w:sz w:val="24"/>
          <w:szCs w:val="24"/>
          <w:lang w:val="bg-BG"/>
        </w:rPr>
        <w:t xml:space="preserve"> </w:t>
      </w:r>
    </w:p>
    <w:p w:rsidR="00476182" w:rsidRPr="00F708EC" w:rsidRDefault="00476182" w:rsidP="00476182">
      <w:pPr>
        <w:widowControl w:val="0"/>
        <w:numPr>
          <w:ilvl w:val="1"/>
          <w:numId w:val="4"/>
        </w:numPr>
        <w:overflowPunct w:val="0"/>
        <w:autoSpaceDE w:val="0"/>
        <w:autoSpaceDN w:val="0"/>
        <w:adjustRightInd w:val="0"/>
        <w:snapToGrid w:val="0"/>
        <w:spacing w:after="120"/>
        <w:jc w:val="both"/>
        <w:rPr>
          <w:rFonts w:ascii="Times New Roman" w:hAnsi="Times New Roman"/>
          <w:b/>
          <w:sz w:val="24"/>
          <w:szCs w:val="24"/>
          <w:lang w:val="bg-BG"/>
        </w:rPr>
      </w:pPr>
      <w:r w:rsidRPr="00F708EC">
        <w:rPr>
          <w:rFonts w:ascii="Times New Roman" w:hAnsi="Times New Roman"/>
          <w:b/>
          <w:sz w:val="24"/>
          <w:szCs w:val="24"/>
          <w:lang w:val="bg-BG"/>
        </w:rPr>
        <w:t xml:space="preserve"> Допустим максимален размер на БФП</w:t>
      </w:r>
    </w:p>
    <w:p w:rsidR="00476182" w:rsidRPr="00F708EC" w:rsidRDefault="00476182" w:rsidP="00476182">
      <w:pPr>
        <w:widowControl w:val="0"/>
        <w:overflowPunct w:val="0"/>
        <w:autoSpaceDE w:val="0"/>
        <w:autoSpaceDN w:val="0"/>
        <w:adjustRightInd w:val="0"/>
        <w:snapToGrid w:val="0"/>
        <w:spacing w:after="120"/>
        <w:ind w:left="6"/>
        <w:jc w:val="both"/>
        <w:rPr>
          <w:rFonts w:ascii="Times New Roman" w:hAnsi="Times New Roman"/>
          <w:sz w:val="24"/>
          <w:szCs w:val="24"/>
          <w:lang w:val="bg-BG"/>
        </w:rPr>
      </w:pPr>
      <w:r w:rsidRPr="00F708EC">
        <w:rPr>
          <w:rFonts w:ascii="Times New Roman" w:hAnsi="Times New Roman"/>
          <w:sz w:val="24"/>
          <w:szCs w:val="24"/>
          <w:lang w:val="bg-BG"/>
        </w:rPr>
        <w:t xml:space="preserve">Допустимият максимален размер на БФП следва да е такъв, който не води до надвишаване на праговете, определени в </w:t>
      </w:r>
      <w:r w:rsidRPr="00F708EC">
        <w:rPr>
          <w:rFonts w:ascii="Times New Roman" w:hAnsi="Times New Roman"/>
          <w:bCs/>
          <w:sz w:val="24"/>
          <w:szCs w:val="24"/>
          <w:lang w:val="bg-BG"/>
        </w:rPr>
        <w:t>Регламент (ЕС) 2023/2831</w:t>
      </w:r>
      <w:r w:rsidRPr="00F708EC">
        <w:rPr>
          <w:rFonts w:ascii="Times New Roman" w:hAnsi="Times New Roman"/>
          <w:color w:val="000000" w:themeColor="text1"/>
          <w:sz w:val="24"/>
          <w:szCs w:val="24"/>
          <w:lang w:val="bg-BG"/>
        </w:rPr>
        <w:t xml:space="preserve">, </w:t>
      </w:r>
      <w:r w:rsidRPr="00F708EC">
        <w:rPr>
          <w:rFonts w:ascii="Times New Roman" w:hAnsi="Times New Roman"/>
          <w:sz w:val="24"/>
          <w:szCs w:val="24"/>
          <w:lang w:val="bg-BG"/>
        </w:rPr>
        <w:t xml:space="preserve">а именно: левовата равностойност на 300 000 евро </w:t>
      </w:r>
      <w:r w:rsidRPr="00F708EC">
        <w:rPr>
          <w:rFonts w:ascii="Times New Roman" w:hAnsi="Times New Roman"/>
          <w:bCs/>
          <w:sz w:val="24"/>
          <w:szCs w:val="24"/>
          <w:lang w:val="bg-BG"/>
        </w:rPr>
        <w:t xml:space="preserve">(586 749 лева) за период от три предходни години, </w:t>
      </w:r>
      <w:r w:rsidRPr="00F708EC">
        <w:rPr>
          <w:rFonts w:ascii="Times New Roman" w:hAnsi="Times New Roman"/>
          <w:sz w:val="24"/>
          <w:szCs w:val="24"/>
          <w:lang w:val="bg-BG"/>
        </w:rPr>
        <w:t>считано от датата на предоставяне на помощта</w:t>
      </w:r>
      <w:r w:rsidRPr="00F708EC">
        <w:rPr>
          <w:rFonts w:ascii="Times New Roman" w:hAnsi="Times New Roman"/>
          <w:color w:val="000000" w:themeColor="text1"/>
          <w:sz w:val="24"/>
          <w:szCs w:val="24"/>
          <w:lang w:val="bg-BG"/>
        </w:rPr>
        <w:t xml:space="preserve">. </w:t>
      </w:r>
    </w:p>
    <w:p w:rsidR="00476182" w:rsidRPr="00F708EC" w:rsidRDefault="00476182" w:rsidP="00476182">
      <w:pPr>
        <w:widowControl w:val="0"/>
        <w:overflowPunct w:val="0"/>
        <w:autoSpaceDE w:val="0"/>
        <w:autoSpaceDN w:val="0"/>
        <w:adjustRightInd w:val="0"/>
        <w:snapToGrid w:val="0"/>
        <w:spacing w:after="120"/>
        <w:jc w:val="both"/>
        <w:rPr>
          <w:rFonts w:ascii="Times New Roman" w:hAnsi="Times New Roman"/>
          <w:sz w:val="24"/>
          <w:szCs w:val="24"/>
          <w:lang w:val="bg-BG"/>
        </w:rPr>
      </w:pPr>
      <w:r w:rsidRPr="00F708EC">
        <w:rPr>
          <w:rFonts w:ascii="Times New Roman" w:hAnsi="Times New Roman"/>
          <w:sz w:val="24"/>
          <w:szCs w:val="24"/>
          <w:lang w:val="bg-BG"/>
        </w:rPr>
        <w:t xml:space="preserve">Минималната помощ се счита за получена от момента на сключване на договора за целево финансиране или от датата на издаване на друг приложим документ, който дава на собственика юридическото право да я получи. </w:t>
      </w:r>
    </w:p>
    <w:p w:rsidR="00476182" w:rsidRPr="00F708EC" w:rsidRDefault="00476182" w:rsidP="00476182">
      <w:pPr>
        <w:widowControl w:val="0"/>
        <w:numPr>
          <w:ilvl w:val="1"/>
          <w:numId w:val="4"/>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F708EC">
        <w:rPr>
          <w:rFonts w:ascii="Times New Roman" w:hAnsi="Times New Roman"/>
          <w:b/>
          <w:sz w:val="24"/>
          <w:szCs w:val="24"/>
          <w:lang w:val="bg-BG"/>
        </w:rPr>
        <w:lastRenderedPageBreak/>
        <w:t>Натрупване на помощта „de minimis“</w:t>
      </w:r>
    </w:p>
    <w:p w:rsidR="00476182" w:rsidRPr="00F708EC" w:rsidRDefault="00476182" w:rsidP="00476182">
      <w:pPr>
        <w:snapToGrid w:val="0"/>
        <w:spacing w:after="120" w:line="240" w:lineRule="auto"/>
        <w:ind w:left="4"/>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Помощта de minimis, предоставена съгласно настоящaта схема, може да се натрупва с:</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 xml:space="preserve"> помощ de minimis, предоставена съгласно Регламент (ЕС) № 360/2012 на Комисията</w:t>
      </w:r>
      <w:r w:rsidRPr="00F708EC">
        <w:rPr>
          <w:rStyle w:val="FootnoteReference"/>
          <w:rFonts w:eastAsia="Calibri"/>
          <w:color w:val="000000" w:themeColor="text1"/>
          <w:lang w:val="bg-BG"/>
        </w:rPr>
        <w:footnoteReference w:id="4"/>
      </w:r>
      <w:r w:rsidRPr="00F708EC">
        <w:rPr>
          <w:color w:val="000000" w:themeColor="text1"/>
          <w:lang w:val="bg-BG"/>
        </w:rPr>
        <w:t>;</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 xml:space="preserve"> помощ de minimis,  определен в Регламент (ЕС) № 1407/2013. </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помощ de minimis, предоставяна съгласно съответния таван, определен в</w:t>
      </w:r>
      <w:r w:rsidRPr="00F708EC">
        <w:rPr>
          <w:bCs/>
          <w:iCs/>
          <w:lang w:val="bg-BG"/>
        </w:rPr>
        <w:t xml:space="preserve"> </w:t>
      </w:r>
      <w:r w:rsidRPr="00F708EC">
        <w:rPr>
          <w:lang w:val="bg-BG"/>
        </w:rPr>
        <w:t xml:space="preserve">Регламент (ЕС) 2023/2831, </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 xml:space="preserve">помощ de minimis, предоставяна съгласно съответния таван, определен </w:t>
      </w:r>
      <w:r w:rsidRPr="00F708EC">
        <w:rPr>
          <w:rFonts w:ascii="inherit" w:hAnsi="inherit"/>
          <w:color w:val="000000"/>
          <w:lang w:val="bg-BG"/>
        </w:rPr>
        <w:t xml:space="preserve">Регламент (ЕС) 2023/2832, </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 xml:space="preserve">помощ de minimis, предоставяна съгласно </w:t>
      </w:r>
      <w:r w:rsidRPr="00F708EC">
        <w:rPr>
          <w:rFonts w:ascii="inherit" w:hAnsi="inherit"/>
          <w:color w:val="000000"/>
          <w:lang w:val="bg-BG"/>
        </w:rPr>
        <w:t xml:space="preserve">Регламент (ЕС) № 1408/2013 и </w:t>
      </w:r>
    </w:p>
    <w:p w:rsidR="00476182" w:rsidRPr="00F708EC" w:rsidRDefault="00476182" w:rsidP="00476182">
      <w:pPr>
        <w:pStyle w:val="ListParagraph"/>
        <w:numPr>
          <w:ilvl w:val="0"/>
          <w:numId w:val="2"/>
        </w:numPr>
        <w:snapToGrid w:val="0"/>
        <w:spacing w:after="120"/>
        <w:jc w:val="both"/>
        <w:rPr>
          <w:color w:val="000000" w:themeColor="text1"/>
          <w:lang w:val="bg-BG"/>
        </w:rPr>
      </w:pPr>
      <w:r w:rsidRPr="00F708EC">
        <w:rPr>
          <w:color w:val="000000" w:themeColor="text1"/>
          <w:lang w:val="bg-BG"/>
        </w:rPr>
        <w:t xml:space="preserve">помощ de minimis, предоставяна съгласно </w:t>
      </w:r>
      <w:r w:rsidRPr="00F708EC">
        <w:rPr>
          <w:rFonts w:ascii="inherit" w:hAnsi="inherit"/>
          <w:color w:val="000000"/>
          <w:lang w:val="bg-BG"/>
        </w:rPr>
        <w:t>Регламент (ЕС) № 717/2014.</w:t>
      </w:r>
    </w:p>
    <w:p w:rsidR="00476182" w:rsidRPr="00F708EC" w:rsidRDefault="00476182" w:rsidP="00476182">
      <w:pPr>
        <w:snapToGrid w:val="0"/>
        <w:spacing w:after="120" w:line="240" w:lineRule="auto"/>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Помощта de minimis не се натрупва с държавна помощ, отпусната за същите допустими разходи.</w:t>
      </w:r>
    </w:p>
    <w:p w:rsidR="00476182" w:rsidRPr="00F708EC" w:rsidRDefault="00476182" w:rsidP="00476182">
      <w:pPr>
        <w:snapToGrid w:val="0"/>
        <w:spacing w:after="120" w:line="240" w:lineRule="auto"/>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В съответствие с изискването на чл. 3, пар. 7 от Регламент (ЕС) 2023/2831,  оценителната комисия служебно ще коригира стойностите на проектите, при които първоначално тавана от 300 000 евро ще се окаже превишен.</w:t>
      </w:r>
    </w:p>
    <w:p w:rsidR="00476182" w:rsidRPr="00F708EC" w:rsidRDefault="00476182" w:rsidP="00476182">
      <w:pPr>
        <w:widowControl w:val="0"/>
        <w:numPr>
          <w:ilvl w:val="1"/>
          <w:numId w:val="4"/>
        </w:numPr>
        <w:overflowPunct w:val="0"/>
        <w:autoSpaceDE w:val="0"/>
        <w:autoSpaceDN w:val="0"/>
        <w:adjustRightInd w:val="0"/>
        <w:snapToGrid w:val="0"/>
        <w:spacing w:after="120" w:line="240" w:lineRule="auto"/>
        <w:jc w:val="both"/>
        <w:rPr>
          <w:rFonts w:ascii="Times New Roman" w:hAnsi="Times New Roman"/>
          <w:b/>
          <w:sz w:val="24"/>
          <w:szCs w:val="24"/>
          <w:lang w:val="bg-BG"/>
        </w:rPr>
      </w:pPr>
      <w:r w:rsidRPr="00F708EC">
        <w:rPr>
          <w:rFonts w:ascii="Times New Roman" w:hAnsi="Times New Roman"/>
          <w:b/>
          <w:sz w:val="24"/>
          <w:szCs w:val="24"/>
          <w:lang w:val="bg-BG"/>
        </w:rPr>
        <w:t xml:space="preserve"> Допустими разходи за финансиране</w:t>
      </w:r>
    </w:p>
    <w:p w:rsidR="00476182" w:rsidRPr="00F708EC" w:rsidRDefault="00476182" w:rsidP="00476182">
      <w:pPr>
        <w:snapToGrid w:val="0"/>
        <w:spacing w:after="120" w:line="240" w:lineRule="auto"/>
        <w:ind w:left="6"/>
        <w:jc w:val="both"/>
        <w:rPr>
          <w:rFonts w:ascii="Times New Roman" w:hAnsi="Times New Roman"/>
          <w:color w:val="000000" w:themeColor="text1"/>
          <w:sz w:val="24"/>
          <w:szCs w:val="24"/>
          <w:lang w:val="bg-BG"/>
        </w:rPr>
      </w:pPr>
      <w:r w:rsidRPr="00F708EC">
        <w:rPr>
          <w:rFonts w:ascii="Times New Roman" w:hAnsi="Times New Roman"/>
          <w:color w:val="000000" w:themeColor="text1"/>
          <w:sz w:val="24"/>
          <w:szCs w:val="24"/>
          <w:lang w:val="bg-BG"/>
        </w:rPr>
        <w:t xml:space="preserve">БФП, под формата на минимална помощ за сдружения, съюзи, кооперации се предоставя за покриване на допустими разходи, определени в Инвестицията. </w:t>
      </w:r>
    </w:p>
    <w:p w:rsidR="00FA6DE9" w:rsidRPr="00476182" w:rsidRDefault="00FA6DE9">
      <w:pPr>
        <w:rPr>
          <w:lang w:val="bg-BG"/>
        </w:rPr>
      </w:pPr>
    </w:p>
    <w:sectPr w:rsidR="00FA6DE9" w:rsidRPr="004761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0594" w:rsidRDefault="00970594" w:rsidP="00476182">
      <w:pPr>
        <w:spacing w:after="0" w:line="240" w:lineRule="auto"/>
      </w:pPr>
      <w:r>
        <w:separator/>
      </w:r>
    </w:p>
  </w:endnote>
  <w:endnote w:type="continuationSeparator" w:id="0">
    <w:p w:rsidR="00970594" w:rsidRDefault="00970594" w:rsidP="0047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0594" w:rsidRDefault="00970594" w:rsidP="00476182">
      <w:pPr>
        <w:spacing w:after="0" w:line="240" w:lineRule="auto"/>
      </w:pPr>
      <w:r>
        <w:separator/>
      </w:r>
    </w:p>
  </w:footnote>
  <w:footnote w:type="continuationSeparator" w:id="0">
    <w:p w:rsidR="00970594" w:rsidRDefault="00970594" w:rsidP="00476182">
      <w:pPr>
        <w:spacing w:after="0" w:line="240" w:lineRule="auto"/>
      </w:pPr>
      <w:r>
        <w:continuationSeparator/>
      </w:r>
    </w:p>
  </w:footnote>
  <w:footnote w:id="1">
    <w:p w:rsidR="00476182" w:rsidRPr="00002EBF" w:rsidRDefault="00476182" w:rsidP="00476182">
      <w:pPr>
        <w:pStyle w:val="FootnoteText"/>
        <w:jc w:val="both"/>
        <w:rPr>
          <w:rFonts w:ascii="Times New Roman" w:hAnsi="Times New Roman"/>
          <w:sz w:val="18"/>
          <w:szCs w:val="18"/>
          <w:lang w:val="ru-RU"/>
        </w:rPr>
      </w:pPr>
      <w:r>
        <w:rPr>
          <w:rStyle w:val="FootnoteReference"/>
        </w:rPr>
        <w:footnoteRef/>
      </w:r>
      <w:r w:rsidRPr="00002EBF">
        <w:rPr>
          <w:lang w:val="ru-RU"/>
        </w:rPr>
        <w:t xml:space="preserve"> </w:t>
      </w:r>
      <w:r w:rsidRPr="00002EBF">
        <w:rPr>
          <w:rFonts w:ascii="Times New Roman" w:hAnsi="Times New Roman"/>
          <w:sz w:val="18"/>
          <w:szCs w:val="18"/>
          <w:lang w:val="ru-RU"/>
        </w:rPr>
        <w:t>Съгласно дефинициите, представени в чл. 2 от Регламент (ЕС) № 2023/2831 и Приложение 8 към Условията за кандидатстване.</w:t>
      </w:r>
    </w:p>
    <w:p w:rsidR="00476182" w:rsidRPr="00002EBF" w:rsidRDefault="00476182" w:rsidP="00476182">
      <w:pPr>
        <w:pStyle w:val="FootnoteText"/>
        <w:rPr>
          <w:lang w:val="ru-RU"/>
        </w:rPr>
      </w:pPr>
    </w:p>
  </w:footnote>
  <w:footnote w:id="2">
    <w:p w:rsidR="00476182" w:rsidRPr="005E1DBB" w:rsidRDefault="00476182" w:rsidP="00476182">
      <w:pPr>
        <w:pStyle w:val="FootnoteText"/>
      </w:pPr>
      <w:r>
        <w:rPr>
          <w:rStyle w:val="FootnoteReference"/>
        </w:rPr>
        <w:footnoteRef/>
      </w:r>
      <w:r>
        <w:t xml:space="preserve"> COMMUNICATION FROM THE COMMISSION</w:t>
      </w:r>
      <w:r>
        <w:rPr>
          <w:lang w:val="bg-BG"/>
        </w:rPr>
        <w:t xml:space="preserve"> </w:t>
      </w:r>
      <w:r>
        <w:t>Guidelines on the application of Union competition law to collective agreements regarding the</w:t>
      </w:r>
      <w:r>
        <w:rPr>
          <w:lang w:val="bg-BG"/>
        </w:rPr>
        <w:t xml:space="preserve"> </w:t>
      </w:r>
      <w:r>
        <w:t>working conditions of solo self-employed persons</w:t>
      </w:r>
      <w:r>
        <w:rPr>
          <w:lang w:val="bg-BG"/>
        </w:rPr>
        <w:t xml:space="preserve"> </w:t>
      </w:r>
      <w:r>
        <w:t>(2022/C 374/02)</w:t>
      </w:r>
    </w:p>
  </w:footnote>
  <w:footnote w:id="3">
    <w:p w:rsidR="00476182" w:rsidRPr="0080204A" w:rsidRDefault="00476182" w:rsidP="00476182">
      <w:pPr>
        <w:pStyle w:val="FootnoteText"/>
        <w:tabs>
          <w:tab w:val="left" w:pos="142"/>
        </w:tabs>
        <w:spacing w:after="120" w:line="240" w:lineRule="auto"/>
        <w:rPr>
          <w:lang w:val="bg-BG"/>
        </w:rPr>
      </w:pPr>
      <w:r w:rsidRPr="0080204A">
        <w:rPr>
          <w:rStyle w:val="FootnoteReference"/>
          <w:lang w:val="bg-BG"/>
        </w:rPr>
        <w:footnoteRef/>
      </w:r>
      <w:r w:rsidRPr="0080204A">
        <w:rPr>
          <w:rFonts w:ascii="Times New Roman" w:hAnsi="Times New Roman"/>
          <w:lang w:val="bg-BG"/>
        </w:rPr>
        <w:t xml:space="preserve"> </w:t>
      </w:r>
      <w:r w:rsidRPr="0080204A">
        <w:rPr>
          <w:rFonts w:ascii="Times New Roman" w:hAnsi="Times New Roman"/>
          <w:lang w:val="bg-BG"/>
        </w:rPr>
        <w:t>Case C-41/90, Klaus Höfner and Fritz Elser v. Macrotron GmbH; Case C-55/96, Job Centre coop. arl., 1997.</w:t>
      </w:r>
    </w:p>
  </w:footnote>
  <w:footnote w:id="4">
    <w:p w:rsidR="00476182" w:rsidRPr="0080204A" w:rsidRDefault="00476182" w:rsidP="00476182">
      <w:pPr>
        <w:pStyle w:val="FootnoteText"/>
        <w:spacing w:after="120" w:line="240" w:lineRule="auto"/>
        <w:ind w:hanging="284"/>
        <w:jc w:val="both"/>
        <w:rPr>
          <w:rFonts w:ascii="Times New Roman" w:hAnsi="Times New Roman"/>
          <w:lang w:val="bg-BG"/>
        </w:rPr>
      </w:pPr>
      <w:r w:rsidRPr="0080204A">
        <w:rPr>
          <w:rStyle w:val="FootnoteReference"/>
          <w:lang w:val="bg-BG"/>
        </w:rPr>
        <w:footnoteRef/>
      </w:r>
      <w:r w:rsidRPr="0080204A">
        <w:rPr>
          <w:rFonts w:ascii="Times New Roman" w:hAnsi="Times New Roman"/>
          <w:lang w:val="bg-BG"/>
        </w:rPr>
        <w:t xml:space="preserve"> </w:t>
      </w:r>
      <w:r w:rsidRPr="0080204A">
        <w:rPr>
          <w:rFonts w:ascii="Times New Roman" w:hAnsi="Times New Roman"/>
          <w:lang w:val="bg-BG"/>
        </w:rPr>
        <w:tab/>
        <w:t xml:space="preserve">Регламент </w:t>
      </w:r>
      <w:r w:rsidRPr="0080204A">
        <w:rPr>
          <w:rFonts w:ascii="Times New Roman" w:hAnsi="Times New Roman"/>
          <w:lang w:val="bg-BG"/>
        </w:rPr>
        <w:t>(ЕС) № 360/2012 на Комисията от 25 април 2012 година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26.4.2012 г., стр.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C54E4"/>
    <w:multiLevelType w:val="hybridMultilevel"/>
    <w:tmpl w:val="C1684A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57D32BE"/>
    <w:multiLevelType w:val="multilevel"/>
    <w:tmpl w:val="BB6C94A2"/>
    <w:lvl w:ilvl="0">
      <w:start w:val="3"/>
      <w:numFmt w:val="decimal"/>
      <w:lvlText w:val="%1."/>
      <w:lvlJc w:val="left"/>
      <w:pPr>
        <w:ind w:left="360" w:hanging="360"/>
      </w:pPr>
      <w:rPr>
        <w:rFonts w:hint="default"/>
      </w:rPr>
    </w:lvl>
    <w:lvl w:ilvl="1">
      <w:start w:val="3"/>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 w15:restartNumberingAfterBreak="0">
    <w:nsid w:val="558A6272"/>
    <w:multiLevelType w:val="multilevel"/>
    <w:tmpl w:val="27C05B5C"/>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3" w15:restartNumberingAfterBreak="0">
    <w:nsid w:val="63C67CC8"/>
    <w:multiLevelType w:val="hybridMultilevel"/>
    <w:tmpl w:val="CE3EAB76"/>
    <w:lvl w:ilvl="0" w:tplc="427049D4">
      <w:start w:val="2"/>
      <w:numFmt w:val="bullet"/>
      <w:lvlText w:val="-"/>
      <w:lvlJc w:val="left"/>
      <w:pPr>
        <w:ind w:left="364" w:hanging="360"/>
      </w:pPr>
      <w:rPr>
        <w:rFonts w:ascii="Times New Roman" w:eastAsiaTheme="minorHAnsi" w:hAnsi="Times New Roman" w:cs="Times New Roman" w:hint="default"/>
        <w:color w:val="auto"/>
      </w:rPr>
    </w:lvl>
    <w:lvl w:ilvl="1" w:tplc="04020003" w:tentative="1">
      <w:start w:val="1"/>
      <w:numFmt w:val="bullet"/>
      <w:lvlText w:val="o"/>
      <w:lvlJc w:val="left"/>
      <w:pPr>
        <w:ind w:left="1084" w:hanging="360"/>
      </w:pPr>
      <w:rPr>
        <w:rFonts w:ascii="Courier New" w:hAnsi="Courier New" w:cs="Courier New" w:hint="default"/>
      </w:rPr>
    </w:lvl>
    <w:lvl w:ilvl="2" w:tplc="04020005" w:tentative="1">
      <w:start w:val="1"/>
      <w:numFmt w:val="bullet"/>
      <w:lvlText w:val=""/>
      <w:lvlJc w:val="left"/>
      <w:pPr>
        <w:ind w:left="1804" w:hanging="360"/>
      </w:pPr>
      <w:rPr>
        <w:rFonts w:ascii="Wingdings" w:hAnsi="Wingdings" w:hint="default"/>
      </w:rPr>
    </w:lvl>
    <w:lvl w:ilvl="3" w:tplc="04020001" w:tentative="1">
      <w:start w:val="1"/>
      <w:numFmt w:val="bullet"/>
      <w:lvlText w:val=""/>
      <w:lvlJc w:val="left"/>
      <w:pPr>
        <w:ind w:left="2524" w:hanging="360"/>
      </w:pPr>
      <w:rPr>
        <w:rFonts w:ascii="Symbol" w:hAnsi="Symbol" w:hint="default"/>
      </w:rPr>
    </w:lvl>
    <w:lvl w:ilvl="4" w:tplc="04020003" w:tentative="1">
      <w:start w:val="1"/>
      <w:numFmt w:val="bullet"/>
      <w:lvlText w:val="o"/>
      <w:lvlJc w:val="left"/>
      <w:pPr>
        <w:ind w:left="3244" w:hanging="360"/>
      </w:pPr>
      <w:rPr>
        <w:rFonts w:ascii="Courier New" w:hAnsi="Courier New" w:cs="Courier New" w:hint="default"/>
      </w:rPr>
    </w:lvl>
    <w:lvl w:ilvl="5" w:tplc="04020005" w:tentative="1">
      <w:start w:val="1"/>
      <w:numFmt w:val="bullet"/>
      <w:lvlText w:val=""/>
      <w:lvlJc w:val="left"/>
      <w:pPr>
        <w:ind w:left="3964" w:hanging="360"/>
      </w:pPr>
      <w:rPr>
        <w:rFonts w:ascii="Wingdings" w:hAnsi="Wingdings" w:hint="default"/>
      </w:rPr>
    </w:lvl>
    <w:lvl w:ilvl="6" w:tplc="04020001" w:tentative="1">
      <w:start w:val="1"/>
      <w:numFmt w:val="bullet"/>
      <w:lvlText w:val=""/>
      <w:lvlJc w:val="left"/>
      <w:pPr>
        <w:ind w:left="4684" w:hanging="360"/>
      </w:pPr>
      <w:rPr>
        <w:rFonts w:ascii="Symbol" w:hAnsi="Symbol" w:hint="default"/>
      </w:rPr>
    </w:lvl>
    <w:lvl w:ilvl="7" w:tplc="04020003" w:tentative="1">
      <w:start w:val="1"/>
      <w:numFmt w:val="bullet"/>
      <w:lvlText w:val="o"/>
      <w:lvlJc w:val="left"/>
      <w:pPr>
        <w:ind w:left="5404" w:hanging="360"/>
      </w:pPr>
      <w:rPr>
        <w:rFonts w:ascii="Courier New" w:hAnsi="Courier New" w:cs="Courier New" w:hint="default"/>
      </w:rPr>
    </w:lvl>
    <w:lvl w:ilvl="8" w:tplc="04020005" w:tentative="1">
      <w:start w:val="1"/>
      <w:numFmt w:val="bullet"/>
      <w:lvlText w:val=""/>
      <w:lvlJc w:val="left"/>
      <w:pPr>
        <w:ind w:left="6124" w:hanging="360"/>
      </w:pPr>
      <w:rPr>
        <w:rFonts w:ascii="Wingdings" w:hAnsi="Wingdings" w:hint="default"/>
      </w:rPr>
    </w:lvl>
  </w:abstractNum>
  <w:num w:numId="1" w16cid:durableId="2114204131">
    <w:abstractNumId w:val="2"/>
  </w:num>
  <w:num w:numId="2" w16cid:durableId="77559697">
    <w:abstractNumId w:val="3"/>
  </w:num>
  <w:num w:numId="3" w16cid:durableId="1485661672">
    <w:abstractNumId w:val="0"/>
  </w:num>
  <w:num w:numId="4" w16cid:durableId="107879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82"/>
    <w:rsid w:val="000B21E5"/>
    <w:rsid w:val="00236D1C"/>
    <w:rsid w:val="00414729"/>
    <w:rsid w:val="00476182"/>
    <w:rsid w:val="004932C7"/>
    <w:rsid w:val="00591CA3"/>
    <w:rsid w:val="006278D7"/>
    <w:rsid w:val="00970594"/>
    <w:rsid w:val="009E0728"/>
    <w:rsid w:val="00D2064D"/>
    <w:rsid w:val="00FA6D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99C8-C88B-4FB8-B968-28B667CE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82"/>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182"/>
    <w:pPr>
      <w:spacing w:after="0" w:line="240" w:lineRule="auto"/>
      <w:ind w:left="720"/>
    </w:pPr>
    <w:rPr>
      <w:rFonts w:ascii="Times New Roman" w:eastAsia="Times New Roman" w:hAnsi="Times New Roman"/>
      <w:sz w:val="24"/>
      <w:szCs w:val="24"/>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qFormat/>
    <w:rsid w:val="00476182"/>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476182"/>
    <w:rPr>
      <w:rFonts w:ascii="Calibri" w:eastAsia="Calibri" w:hAnsi="Calibri" w:cs="Times New Roman"/>
      <w:kern w:val="0"/>
      <w:sz w:val="20"/>
      <w:szCs w:val="20"/>
      <w:lang w:val="en-US"/>
      <w14:ligatures w14:val="none"/>
    </w:rPr>
  </w:style>
  <w:style w:type="character" w:styleId="FootnoteReference">
    <w:name w:val="footnote reference"/>
    <w:aliases w:val="Footnote symbol,SUPERS,BVI fnr,Appel note de bas de p,Nota,(NECG) Footnote Reference,Voetnootverwijzing,ftref,Footnotes refss,Fussnota,Footnote reference number,Times 10 Point,Exposant 3 Point,EN Footnote Reference,note TESI,SUPE,f"/>
    <w:uiPriority w:val="99"/>
    <w:qFormat/>
    <w:rsid w:val="00476182"/>
    <w:rPr>
      <w:vertAlign w:val="superscript"/>
    </w:rPr>
  </w:style>
  <w:style w:type="paragraph" w:styleId="BodyText">
    <w:name w:val="Body Text"/>
    <w:basedOn w:val="Normal"/>
    <w:link w:val="BodyTextChar"/>
    <w:unhideWhenUsed/>
    <w:rsid w:val="00476182"/>
    <w:pPr>
      <w:spacing w:after="120" w:line="240" w:lineRule="auto"/>
    </w:pPr>
    <w:rPr>
      <w:rFonts w:ascii="Arial" w:eastAsia="Times New Roman" w:hAnsi="Arial"/>
      <w:sz w:val="20"/>
      <w:szCs w:val="20"/>
      <w:lang w:val="en-GB"/>
    </w:rPr>
  </w:style>
  <w:style w:type="character" w:customStyle="1" w:styleId="BodyTextChar">
    <w:name w:val="Body Text Char"/>
    <w:basedOn w:val="DefaultParagraphFont"/>
    <w:link w:val="BodyText"/>
    <w:rsid w:val="00476182"/>
    <w:rPr>
      <w:rFonts w:ascii="Arial" w:eastAsia="Times New Roman" w:hAnsi="Arial"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2801</Words>
  <Characters>15969</Characters>
  <Application>Microsoft Office Word</Application>
  <DocSecurity>0</DocSecurity>
  <Lines>133</Lines>
  <Paragraphs>37</Paragraphs>
  <ScaleCrop>false</ScaleCrop>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Fund Culture</dc:creator>
  <cp:keywords/>
  <dc:description/>
  <cp:lastModifiedBy>National Fund Culture</cp:lastModifiedBy>
  <cp:revision>4</cp:revision>
  <dcterms:created xsi:type="dcterms:W3CDTF">2024-12-11T13:44:00Z</dcterms:created>
  <dcterms:modified xsi:type="dcterms:W3CDTF">2025-01-28T06:20:00Z</dcterms:modified>
</cp:coreProperties>
</file>